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63FB1">
      <w:pPr>
        <w:ind w:left="0" w:leftChars="0" w:firstLine="0" w:firstLineChars="0"/>
        <w:jc w:val="both"/>
        <w:rPr>
          <w:rFonts w:hint="default" w:ascii="Times New Roman" w:hAnsi="Times New Roman" w:eastAsia="方正小标宋简体" w:cs="Times New Roman"/>
          <w:sz w:val="44"/>
          <w:szCs w:val="44"/>
        </w:rPr>
        <w:sectPr>
          <w:footerReference r:id="rId5" w:type="default"/>
          <w:pgSz w:w="11906" w:h="16838"/>
          <w:pgMar w:top="1440" w:right="1800" w:bottom="1440" w:left="1800" w:header="851" w:footer="992" w:gutter="0"/>
          <w:pgNumType w:fmt="decimal"/>
          <w:cols w:space="720" w:num="1"/>
          <w:docGrid w:type="lines" w:linePitch="312" w:charSpace="0"/>
        </w:sectPr>
      </w:pPr>
      <w:bookmarkStart w:id="259" w:name="_GoBack"/>
      <w:r>
        <w:rPr>
          <w:rFonts w:hint="default" w:ascii="Times New Roman" w:hAnsi="Times New Roman" w:eastAsia="方正小标宋简体" w:cs="Times New Roman"/>
          <w:sz w:val="44"/>
          <w:szCs w:val="44"/>
          <w:lang w:eastAsia="zh-CN"/>
        </w:rPr>
        <w:drawing>
          <wp:anchor distT="0" distB="0" distL="114300" distR="114300" simplePos="0" relativeHeight="251662336" behindDoc="0" locked="0" layoutInCell="1" allowOverlap="1">
            <wp:simplePos x="0" y="0"/>
            <wp:positionH relativeFrom="column">
              <wp:posOffset>-934085</wp:posOffset>
            </wp:positionH>
            <wp:positionV relativeFrom="paragraph">
              <wp:posOffset>-950595</wp:posOffset>
            </wp:positionV>
            <wp:extent cx="2952750" cy="1487805"/>
            <wp:effectExtent l="0" t="0" r="0" b="17145"/>
            <wp:wrapNone/>
            <wp:docPr id="2" name="图片 2" descr="W020211108367549960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11108367549960472 (1)"/>
                    <pic:cNvPicPr>
                      <a:picLocks noChangeAspect="1"/>
                    </pic:cNvPicPr>
                  </pic:nvPicPr>
                  <pic:blipFill>
                    <a:blip r:embed="rId8"/>
                    <a:srcRect l="1700" t="4672" r="1958" b="5693"/>
                    <a:stretch>
                      <a:fillRect/>
                    </a:stretch>
                  </pic:blipFill>
                  <pic:spPr>
                    <a:xfrm>
                      <a:off x="0" y="0"/>
                      <a:ext cx="2952750" cy="1487805"/>
                    </a:xfrm>
                    <a:prstGeom prst="rect">
                      <a:avLst/>
                    </a:prstGeom>
                    <a:noFill/>
                    <a:ln>
                      <a:noFill/>
                    </a:ln>
                  </pic:spPr>
                </pic:pic>
              </a:graphicData>
            </a:graphic>
          </wp:anchor>
        </w:drawing>
      </w:r>
      <w:r>
        <w:rPr>
          <w:rFonts w:hint="default" w:ascii="Times New Roman" w:hAnsi="Times New Roman" w:eastAsia="方正小标宋简体" w:cs="Times New Roman"/>
          <w:sz w:val="44"/>
          <w:szCs w:val="44"/>
          <w:lang w:eastAsia="zh-CN"/>
        </w:rPr>
        <w:drawing>
          <wp:anchor distT="0" distB="0" distL="114300" distR="114300" simplePos="0" relativeHeight="251659264" behindDoc="1" locked="0" layoutInCell="1" allowOverlap="1">
            <wp:simplePos x="0" y="0"/>
            <wp:positionH relativeFrom="column">
              <wp:posOffset>-1142365</wp:posOffset>
            </wp:positionH>
            <wp:positionV relativeFrom="page">
              <wp:posOffset>0</wp:posOffset>
            </wp:positionV>
            <wp:extent cx="7559040" cy="10692130"/>
            <wp:effectExtent l="0" t="0" r="3810" b="13970"/>
            <wp:wrapNone/>
            <wp:docPr id="1" name="图片 3"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H:\稻壳儿相关资料\封面-非模\09.jpg09"/>
                    <pic:cNvPicPr>
                      <a:picLocks noChangeAspect="1"/>
                    </pic:cNvPicPr>
                  </pic:nvPicPr>
                  <pic:blipFill>
                    <a:blip r:embed="rId9"/>
                    <a:stretch>
                      <a:fillRect/>
                    </a:stretch>
                  </pic:blipFill>
                  <pic:spPr>
                    <a:xfrm>
                      <a:off x="0" y="0"/>
                      <a:ext cx="7559040" cy="10692130"/>
                    </a:xfrm>
                    <a:prstGeom prst="rect">
                      <a:avLst/>
                    </a:prstGeom>
                    <a:noFill/>
                    <a:ln>
                      <a:noFill/>
                    </a:ln>
                  </pic:spPr>
                </pic:pic>
              </a:graphicData>
            </a:graphic>
          </wp:anchor>
        </w:drawing>
      </w:r>
      <w:r>
        <w:rPr>
          <w:rFonts w:hint="default" w:ascii="Times New Roman" w:hAnsi="Times New Roman" w:eastAsia="方正小标宋简体" w:cs="Times New Roman"/>
          <w:sz w:val="44"/>
          <w:szCs w:val="44"/>
        </w:rPr>
        <mc:AlternateContent>
          <mc:Choice Requires="wps">
            <w:drawing>
              <wp:anchor distT="0" distB="0" distL="114300" distR="114300" simplePos="0" relativeHeight="251661312" behindDoc="0" locked="0" layoutInCell="1" allowOverlap="1">
                <wp:simplePos x="0" y="0"/>
                <wp:positionH relativeFrom="column">
                  <wp:posOffset>689610</wp:posOffset>
                </wp:positionH>
                <wp:positionV relativeFrom="paragraph">
                  <wp:posOffset>2312035</wp:posOffset>
                </wp:positionV>
                <wp:extent cx="5364480" cy="1280160"/>
                <wp:effectExtent l="0" t="0" r="0" b="0"/>
                <wp:wrapNone/>
                <wp:docPr id="8" name="矩形 13"/>
                <wp:cNvGraphicFramePr/>
                <a:graphic xmlns:a="http://schemas.openxmlformats.org/drawingml/2006/main">
                  <a:graphicData uri="http://schemas.microsoft.com/office/word/2010/wordprocessingShape">
                    <wps:wsp>
                      <wps:cNvSpPr/>
                      <wps:spPr>
                        <a:xfrm>
                          <a:off x="0" y="0"/>
                          <a:ext cx="5364480" cy="1280160"/>
                        </a:xfrm>
                        <a:prstGeom prst="rect">
                          <a:avLst/>
                        </a:prstGeom>
                        <a:noFill/>
                        <a:ln>
                          <a:noFill/>
                        </a:ln>
                        <a:effectLst/>
                      </wps:spPr>
                      <wps:txbx>
                        <w:txbxContent>
                          <w:p w14:paraId="36FDFF73">
                            <w:pPr>
                              <w:pStyle w:val="11"/>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wps:txbx>
                      <wps:bodyPr vert="horz" wrap="square" anchor="t" anchorCtr="0">
                        <a:spAutoFit/>
                      </wps:bodyPr>
                    </wps:wsp>
                  </a:graphicData>
                </a:graphic>
              </wp:anchor>
            </w:drawing>
          </mc:Choice>
          <mc:Fallback>
            <w:pict>
              <v:rect id="矩形 13" o:spid="_x0000_s1026" o:spt="1" style="position:absolute;left:0pt;margin-left:54.3pt;margin-top:182.05pt;height:100.8pt;width:422.4pt;z-index:251661312;mso-width-relative:page;mso-height-relative:page;" filled="f" stroked="f" coordsize="21600,21600" o:gfxdata="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1EJf/aAAAACwEAAA8AAAAAAAAAAQAgAAAAIgAA&#10;AGRycy9kb3ducmV2LnhtbFBLAQIUABQAAAAIAIdO4kDk/WO2zQEAAJIDAAAOAAAAAAAAAAEAIAAA&#10;ACkBAABkcnMvZTJvRG9jLnhtbFBLBQYAAAAABgAGAFkBAABoBQAAAAA=&#10;">
                <v:fill on="f" focussize="0,0"/>
                <v:stroke on="f"/>
                <v:imagedata o:title=""/>
                <o:lock v:ext="edit" aspectratio="f"/>
                <v:textbox style="mso-fit-shape-to-text:t;">
                  <w:txbxContent>
                    <w:p w14:paraId="36FDFF73">
                      <w:pPr>
                        <w:pStyle w:val="11"/>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v:textbox>
              </v:rect>
            </w:pict>
          </mc:Fallback>
        </mc:AlternateContent>
      </w:r>
      <w:r>
        <w:rPr>
          <w:rFonts w:hint="default" w:ascii="Times New Roman" w:hAnsi="Times New Roman" w:eastAsia="方正小标宋简体" w:cs="Times New Roman"/>
          <w:sz w:val="44"/>
          <w:szCs w:val="44"/>
        </w:rPr>
        <mc:AlternateContent>
          <mc:Choice Requires="wps">
            <w:drawing>
              <wp:anchor distT="0" distB="0" distL="114300" distR="114300" simplePos="0" relativeHeight="251660288" behindDoc="0" locked="0" layoutInCell="1" allowOverlap="1">
                <wp:simplePos x="0" y="0"/>
                <wp:positionH relativeFrom="column">
                  <wp:posOffset>1296670</wp:posOffset>
                </wp:positionH>
                <wp:positionV relativeFrom="paragraph">
                  <wp:posOffset>8161020</wp:posOffset>
                </wp:positionV>
                <wp:extent cx="239268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2392680" cy="487680"/>
                        </a:xfrm>
                        <a:prstGeom prst="rect">
                          <a:avLst/>
                        </a:prstGeom>
                        <a:noFill/>
                        <a:ln>
                          <a:noFill/>
                        </a:ln>
                        <a:effectLst/>
                      </wps:spPr>
                      <wps:txbx>
                        <w:txbxContent>
                          <w:p w14:paraId="6DA3137D">
                            <w:pPr>
                              <w:pStyle w:val="11"/>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F084EED">
                            <w:pPr>
                              <w:pStyle w:val="11"/>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3</w:t>
                            </w:r>
                            <w:r>
                              <w:rPr>
                                <w:rFonts w:hint="default" w:ascii="Times New Roman" w:hAnsi="Times New Roman" w:eastAsia="方正小标宋简体" w:cs="Times New Roman"/>
                                <w:color w:val="000000"/>
                                <w:kern w:val="2"/>
                                <w:sz w:val="32"/>
                                <w:szCs w:val="32"/>
                                <w:lang w:val="en-US" w:eastAsia="zh-CN" w:bidi="ar-SA"/>
                              </w:rPr>
                              <w:t>月</w:t>
                            </w:r>
                            <w:r>
                              <w:rPr>
                                <w:rFonts w:hint="eastAsia" w:eastAsia="方正小标宋简体" w:cs="Times New Roman"/>
                                <w:color w:val="000000"/>
                                <w:kern w:val="2"/>
                                <w:sz w:val="32"/>
                                <w:szCs w:val="32"/>
                                <w:lang w:val="en-US" w:eastAsia="zh-CN" w:bidi="ar-SA"/>
                              </w:rPr>
                              <w:t>16</w:t>
                            </w:r>
                            <w:r>
                              <w:rPr>
                                <w:rFonts w:hint="default" w:ascii="Times New Roman" w:hAnsi="Times New Roman" w:eastAsia="方正小标宋简体" w:cs="Times New Roman"/>
                                <w:color w:val="000000"/>
                                <w:kern w:val="2"/>
                                <w:sz w:val="32"/>
                                <w:szCs w:val="32"/>
                                <w:lang w:val="en-US" w:eastAsia="zh-CN" w:bidi="ar-SA"/>
                              </w:rPr>
                              <w:t>日</w:t>
                            </w:r>
                          </w:p>
                        </w:txbxContent>
                      </wps:txbx>
                      <wps:bodyPr vert="horz" wrap="none" anchor="t" anchorCtr="0">
                        <a:spAutoFit/>
                      </wps:bodyPr>
                    </wps:wsp>
                  </a:graphicData>
                </a:graphic>
              </wp:anchor>
            </w:drawing>
          </mc:Choice>
          <mc:Fallback>
            <w:pict>
              <v:rect id="矩形 19" o:spid="_x0000_s1026" o:spt="1" style="position:absolute;left:0pt;margin-left:102.1pt;margin-top:642.6pt;height:38.4pt;width:188.4pt;mso-wrap-style:none;z-index:251660288;mso-width-relative:page;mso-height-relative:page;" filled="f" stroked="f" coordsize="21600,21600" o:gfxdata="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FGw5Y2QAAAA0BAAAPAAAAAAAAAAEAIAAAACIAAABkcnMv&#10;ZG93bnJldi54bWxQSwECFAAUAAAACACHTuJAJF0TUskBAACQAwAADgAAAAAAAAABACAAAAAoAQAA&#10;ZHJzL2Uyb0RvYy54bWxQSwUGAAAAAAYABgBZAQAAYwUAAAAA&#10;">
                <v:fill on="f" focussize="0,0"/>
                <v:stroke on="f"/>
                <v:imagedata o:title=""/>
                <o:lock v:ext="edit" aspectratio="f"/>
                <v:textbox style="mso-fit-shape-to-text:t;">
                  <w:txbxContent>
                    <w:p w14:paraId="6DA3137D">
                      <w:pPr>
                        <w:pStyle w:val="11"/>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F084EED">
                      <w:pPr>
                        <w:pStyle w:val="11"/>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3</w:t>
                      </w:r>
                      <w:r>
                        <w:rPr>
                          <w:rFonts w:hint="default" w:ascii="Times New Roman" w:hAnsi="Times New Roman" w:eastAsia="方正小标宋简体" w:cs="Times New Roman"/>
                          <w:color w:val="000000"/>
                          <w:kern w:val="2"/>
                          <w:sz w:val="32"/>
                          <w:szCs w:val="32"/>
                          <w:lang w:val="en-US" w:eastAsia="zh-CN" w:bidi="ar-SA"/>
                        </w:rPr>
                        <w:t>月</w:t>
                      </w:r>
                      <w:r>
                        <w:rPr>
                          <w:rFonts w:hint="eastAsia" w:eastAsia="方正小标宋简体" w:cs="Times New Roman"/>
                          <w:color w:val="000000"/>
                          <w:kern w:val="2"/>
                          <w:sz w:val="32"/>
                          <w:szCs w:val="32"/>
                          <w:lang w:val="en-US" w:eastAsia="zh-CN" w:bidi="ar-SA"/>
                        </w:rPr>
                        <w:t>16</w:t>
                      </w:r>
                      <w:r>
                        <w:rPr>
                          <w:rFonts w:hint="default" w:ascii="Times New Roman" w:hAnsi="Times New Roman" w:eastAsia="方正小标宋简体" w:cs="Times New Roman"/>
                          <w:color w:val="000000"/>
                          <w:kern w:val="2"/>
                          <w:sz w:val="32"/>
                          <w:szCs w:val="32"/>
                          <w:lang w:val="en-US" w:eastAsia="zh-CN" w:bidi="ar-SA"/>
                        </w:rPr>
                        <w:t>日</w:t>
                      </w:r>
                    </w:p>
                  </w:txbxContent>
                </v:textbox>
              </v:rect>
            </w:pict>
          </mc:Fallback>
        </mc:AlternateContent>
      </w:r>
    </w:p>
    <w:bookmarkEnd w:id="259"/>
    <w:p w14:paraId="284CBEB2">
      <w:pPr>
        <w:ind w:left="0" w:leftChars="0" w:firstLine="0" w:firstLineChars="0"/>
        <w:jc w:val="both"/>
        <w:rPr>
          <w:rFonts w:hint="default" w:ascii="Times New Roman" w:hAnsi="Times New Roman" w:eastAsia="方正小标宋简体" w:cs="Times New Roman"/>
          <w:sz w:val="44"/>
          <w:szCs w:val="44"/>
          <w:lang w:val="en-US" w:eastAsia="zh-CN"/>
        </w:rPr>
      </w:pPr>
    </w:p>
    <w:p w14:paraId="5C0B269F">
      <w:pPr>
        <w:ind w:left="0" w:leftChars="0"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目</w:t>
      </w:r>
      <w:r>
        <w:rPr>
          <w:rFonts w:hint="eastAsia"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录</w:t>
      </w:r>
    </w:p>
    <w:p w14:paraId="1A14C8A0">
      <w:pPr>
        <w:spacing w:before="0" w:beforeLines="0" w:after="0" w:afterLines="0" w:line="240" w:lineRule="auto"/>
        <w:ind w:left="0" w:leftChars="0" w:right="0" w:rightChars="0" w:firstLine="0" w:firstLineChars="0"/>
        <w:jc w:val="center"/>
        <w:rPr>
          <w:rFonts w:eastAsia="仿宋_GB2312"/>
          <w:sz w:val="32"/>
        </w:rPr>
      </w:pPr>
    </w:p>
    <w:p w14:paraId="035F39C0">
      <w:pPr>
        <w:pStyle w:val="8"/>
        <w:tabs>
          <w:tab w:val="right" w:leader="dot" w:pos="8845"/>
        </w:tabs>
        <w:rPr>
          <w:rFonts w:hint="default" w:ascii="Times New Roman" w:hAnsi="Times New Roman" w:eastAsia="黑体" w:cs="Times New Roman"/>
          <w:lang w:val="en-US" w:eastAsia="zh-CN"/>
        </w:rPr>
      </w:pPr>
      <w:r>
        <w:rPr>
          <w:rFonts w:hint="default" w:ascii="Times New Roman" w:hAnsi="Times New Roman" w:eastAsia="方正小标宋简体" w:cs="Times New Roman"/>
          <w:kern w:val="2"/>
          <w:sz w:val="32"/>
          <w:szCs w:val="44"/>
          <w:lang w:val="en-US" w:eastAsia="zh-CN" w:bidi="ar-SA"/>
        </w:rPr>
        <w:fldChar w:fldCharType="begin"/>
      </w:r>
      <w:r>
        <w:rPr>
          <w:rFonts w:hint="default" w:ascii="Times New Roman" w:hAnsi="Times New Roman" w:eastAsia="方正小标宋简体" w:cs="Times New Roman"/>
          <w:kern w:val="2"/>
          <w:sz w:val="32"/>
          <w:szCs w:val="44"/>
          <w:lang w:val="en-US" w:eastAsia="zh-CN" w:bidi="ar-SA"/>
        </w:rPr>
        <w:instrText xml:space="preserve">TOC \o "1-1" \h \u </w:instrText>
      </w:r>
      <w:r>
        <w:rPr>
          <w:rFonts w:hint="default" w:ascii="Times New Roman" w:hAnsi="Times New Roman" w:eastAsia="方正小标宋简体" w:cs="Times New Roman"/>
          <w:kern w:val="2"/>
          <w:sz w:val="32"/>
          <w:szCs w:val="44"/>
          <w:lang w:val="en-US" w:eastAsia="zh-CN" w:bidi="ar-SA"/>
        </w:rPr>
        <w:fldChar w:fldCharType="separate"/>
      </w:r>
      <w:r>
        <w:rPr>
          <w:rFonts w:hint="default" w:ascii="Times New Roman" w:hAnsi="Times New Roman" w:eastAsia="方正小标宋简体" w:cs="Times New Roman"/>
          <w:kern w:val="2"/>
          <w:szCs w:val="44"/>
          <w:lang w:val="en-US" w:eastAsia="zh-CN" w:bidi="ar-SA"/>
        </w:rPr>
        <w:fldChar w:fldCharType="begin"/>
      </w:r>
      <w:r>
        <w:rPr>
          <w:rFonts w:hint="default" w:ascii="Times New Roman" w:hAnsi="Times New Roman" w:eastAsia="方正小标宋简体" w:cs="Times New Roman"/>
          <w:kern w:val="2"/>
          <w:szCs w:val="44"/>
          <w:lang w:val="en-US" w:eastAsia="zh-CN" w:bidi="ar-SA"/>
        </w:rPr>
        <w:instrText xml:space="preserve"> HYPERLINK \l _Toc4824 </w:instrText>
      </w:r>
      <w:r>
        <w:rPr>
          <w:rFonts w:hint="default" w:ascii="Times New Roman" w:hAnsi="Times New Roman" w:eastAsia="方正小标宋简体" w:cs="Times New Roman"/>
          <w:kern w:val="2"/>
          <w:szCs w:val="44"/>
          <w:lang w:val="en-US" w:eastAsia="zh-CN" w:bidi="ar-SA"/>
        </w:rPr>
        <w:fldChar w:fldCharType="separate"/>
      </w:r>
      <w:r>
        <w:rPr>
          <w:rFonts w:hint="default" w:ascii="Times New Roman" w:hAnsi="Times New Roman" w:eastAsia="黑体" w:cs="Times New Roman"/>
        </w:rPr>
        <w:t>一</w:t>
      </w:r>
      <w:r>
        <w:rPr>
          <w:rFonts w:hint="default" w:ascii="Times New Roman" w:hAnsi="Times New Roman" w:eastAsia="楷体_GB2312" w:cs="Times New Roman"/>
          <w:b/>
          <w:bCs/>
        </w:rPr>
        <w:t>、</w:t>
      </w:r>
      <w:r>
        <w:rPr>
          <w:rFonts w:hint="default" w:ascii="Times New Roman" w:hAnsi="Times New Roman" w:eastAsia="楷体_GB2312" w:cs="Times New Roman"/>
          <w:b/>
          <w:bCs/>
          <w:lang w:val="en-US" w:eastAsia="zh-CN"/>
        </w:rPr>
        <w:t>重要会议、讲话、文件精神</w:t>
      </w:r>
    </w:p>
    <w:p w14:paraId="4FE8F7E9">
      <w:pPr>
        <w:pStyle w:val="8"/>
        <w:tabs>
          <w:tab w:val="right" w:leader="dot" w:pos="8845"/>
        </w:tabs>
        <w:rPr>
          <w:rFonts w:hint="default" w:ascii="Times New Roman" w:hAnsi="Times New Roman" w:eastAsia="仿宋_GB2312" w:cs="Times New Roman"/>
          <w:sz w:val="32"/>
        </w:rPr>
      </w:pPr>
      <w:r>
        <w:rPr>
          <w:rFonts w:hint="default" w:ascii="Times New Roman" w:hAnsi="Times New Roman" w:eastAsia="黑体" w:cs="Times New Roman"/>
          <w:lang w:val="en-US" w:eastAsia="zh-CN"/>
        </w:rPr>
        <w:t>1.</w:t>
      </w:r>
      <w:r>
        <w:rPr>
          <w:rFonts w:hint="default" w:ascii="Times New Roman" w:hAnsi="Times New Roman" w:eastAsia="仿宋_GB2312" w:cs="Times New Roman"/>
        </w:rPr>
        <w:t>政府工作报告</w:t>
      </w:r>
      <w:r>
        <w:rPr>
          <w:rFonts w:hint="default" w:ascii="Times New Roman" w:hAnsi="Times New Roman" w:eastAsia="仿宋_GB2312" w:cs="Times New Roman"/>
          <w:sz w:val="32"/>
        </w:rPr>
        <w:tab/>
      </w:r>
      <w:r>
        <w:rPr>
          <w:rFonts w:hint="default" w:ascii="Times New Roman" w:hAnsi="Times New Roman" w:eastAsia="仿宋_GB2312" w:cs="Times New Roman"/>
          <w:sz w:val="32"/>
        </w:rPr>
        <w:fldChar w:fldCharType="begin"/>
      </w:r>
      <w:r>
        <w:rPr>
          <w:rFonts w:hint="default" w:ascii="Times New Roman" w:hAnsi="Times New Roman" w:eastAsia="仿宋_GB2312" w:cs="Times New Roman"/>
          <w:sz w:val="32"/>
        </w:rPr>
        <w:instrText xml:space="preserve"> PAGEREF _Toc4824 \h </w:instrText>
      </w:r>
      <w:r>
        <w:rPr>
          <w:rFonts w:hint="default" w:ascii="Times New Roman" w:hAnsi="Times New Roman" w:eastAsia="仿宋_GB2312" w:cs="Times New Roman"/>
          <w:sz w:val="32"/>
        </w:rPr>
        <w:fldChar w:fldCharType="separate"/>
      </w:r>
      <w:r>
        <w:rPr>
          <w:rFonts w:hint="default" w:ascii="Times New Roman" w:hAnsi="Times New Roman" w:eastAsia="仿宋_GB2312" w:cs="Times New Roman"/>
          <w:sz w:val="32"/>
        </w:rPr>
        <w:t>1</w:t>
      </w:r>
      <w:r>
        <w:rPr>
          <w:rFonts w:hint="default" w:ascii="Times New Roman" w:hAnsi="Times New Roman" w:eastAsia="仿宋_GB2312" w:cs="Times New Roman"/>
          <w:sz w:val="32"/>
        </w:rPr>
        <w:fldChar w:fldCharType="end"/>
      </w:r>
      <w:r>
        <w:rPr>
          <w:rFonts w:hint="default" w:ascii="Times New Roman" w:hAnsi="Times New Roman" w:eastAsia="方正小标宋简体" w:cs="Times New Roman"/>
          <w:kern w:val="2"/>
          <w:szCs w:val="44"/>
          <w:lang w:val="en-US" w:eastAsia="zh-CN" w:bidi="ar-SA"/>
        </w:rPr>
        <w:fldChar w:fldCharType="end"/>
      </w:r>
    </w:p>
    <w:p w14:paraId="23055996">
      <w:pPr>
        <w:pStyle w:val="8"/>
        <w:tabs>
          <w:tab w:val="right" w:leader="dot" w:pos="8845"/>
        </w:tabs>
        <w:rPr>
          <w:rFonts w:hint="default" w:ascii="Times New Roman" w:hAnsi="Times New Roman" w:eastAsia="仿宋_GB2312" w:cs="Times New Roman"/>
          <w:sz w:val="32"/>
          <w:lang w:val="en-US"/>
        </w:rPr>
      </w:pPr>
      <w:r>
        <w:rPr>
          <w:rFonts w:hint="default" w:ascii="Times New Roman" w:hAnsi="Times New Roman" w:eastAsia="方正小标宋简体" w:cs="Times New Roman"/>
          <w:kern w:val="2"/>
          <w:szCs w:val="44"/>
          <w:lang w:val="en-US" w:eastAsia="zh-CN" w:bidi="ar-SA"/>
        </w:rPr>
        <w:t>2.</w:t>
      </w:r>
      <w:r>
        <w:rPr>
          <w:rFonts w:hint="default" w:ascii="Times New Roman" w:hAnsi="Times New Roman" w:eastAsia="方正小标宋简体" w:cs="Times New Roman"/>
          <w:kern w:val="2"/>
          <w:szCs w:val="44"/>
          <w:lang w:val="en-US" w:eastAsia="zh-CN" w:bidi="ar-SA"/>
        </w:rPr>
        <w:fldChar w:fldCharType="begin"/>
      </w:r>
      <w:r>
        <w:rPr>
          <w:rFonts w:hint="default" w:ascii="Times New Roman" w:hAnsi="Times New Roman" w:eastAsia="方正小标宋简体" w:cs="Times New Roman"/>
          <w:kern w:val="2"/>
          <w:szCs w:val="44"/>
          <w:lang w:val="en-US" w:eastAsia="zh-CN" w:bidi="ar-SA"/>
        </w:rPr>
        <w:instrText xml:space="preserve"> HYPERLINK \l _Toc3611 </w:instrText>
      </w:r>
      <w:r>
        <w:rPr>
          <w:rFonts w:hint="default" w:ascii="Times New Roman" w:hAnsi="Times New Roman" w:eastAsia="方正小标宋简体" w:cs="Times New Roman"/>
          <w:kern w:val="2"/>
          <w:szCs w:val="44"/>
          <w:lang w:val="en-US" w:eastAsia="zh-CN" w:bidi="ar-SA"/>
        </w:rPr>
        <w:fldChar w:fldCharType="separate"/>
      </w:r>
      <w:r>
        <w:rPr>
          <w:rFonts w:hint="default" w:ascii="Times New Roman" w:hAnsi="Times New Roman" w:eastAsia="仿宋_GB2312" w:cs="Times New Roman"/>
          <w:lang w:val="en-US" w:eastAsia="zh-CN"/>
        </w:rPr>
        <w:t>中华人民共和国国民经济和社会发展第十五个五年规划纲要</w:t>
      </w:r>
      <w:r>
        <w:rPr>
          <w:rFonts w:hint="default" w:ascii="Times New Roman" w:hAnsi="Times New Roman" w:eastAsia="仿宋_GB2312" w:cs="Times New Roman"/>
          <w:sz w:val="32"/>
        </w:rPr>
        <w:tab/>
      </w:r>
      <w:r>
        <w:rPr>
          <w:rFonts w:hint="default" w:ascii="Times New Roman" w:hAnsi="Times New Roman" w:eastAsia="仿宋_GB2312" w:cs="Times New Roman"/>
          <w:sz w:val="32"/>
          <w:lang w:val="en-US" w:eastAsia="zh-CN"/>
        </w:rPr>
        <w:t>3</w:t>
      </w:r>
      <w:r>
        <w:rPr>
          <w:rFonts w:hint="default" w:ascii="Times New Roman" w:hAnsi="Times New Roman" w:eastAsia="方正小标宋简体" w:cs="Times New Roman"/>
          <w:kern w:val="2"/>
          <w:szCs w:val="44"/>
          <w:lang w:val="en-US" w:eastAsia="zh-CN" w:bidi="ar-SA"/>
        </w:rPr>
        <w:fldChar w:fldCharType="end"/>
      </w:r>
      <w:r>
        <w:rPr>
          <w:rFonts w:hint="default" w:ascii="Times New Roman" w:hAnsi="Times New Roman" w:eastAsia="方正小标宋简体" w:cs="Times New Roman"/>
          <w:kern w:val="2"/>
          <w:szCs w:val="44"/>
          <w:lang w:val="en-US" w:eastAsia="zh-CN" w:bidi="ar-SA"/>
        </w:rPr>
        <w:t>7</w:t>
      </w:r>
    </w:p>
    <w:p w14:paraId="4791418B">
      <w:pPr>
        <w:pStyle w:val="8"/>
        <w:tabs>
          <w:tab w:val="right" w:leader="dot" w:pos="8845"/>
        </w:tabs>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3.中华人民共和国民族团结进步促进法</w:t>
      </w:r>
      <w:r>
        <w:rPr>
          <w:rFonts w:hint="eastAsia" w:eastAsia="仿宋_GB2312" w:cs="Times New Roman"/>
          <w:lang w:val="en-US" w:eastAsia="zh-CN"/>
        </w:rPr>
        <w:tab/>
      </w:r>
      <w:r>
        <w:rPr>
          <w:rFonts w:hint="eastAsia" w:eastAsia="仿宋_GB2312" w:cs="Times New Roman"/>
          <w:lang w:val="en-US" w:eastAsia="zh-CN"/>
        </w:rPr>
        <w:t>153</w:t>
      </w:r>
    </w:p>
    <w:p w14:paraId="432C71B3">
      <w:pPr>
        <w:pStyle w:val="8"/>
        <w:tabs>
          <w:tab w:val="right" w:leader="dot" w:pos="8845"/>
        </w:tabs>
        <w:rPr>
          <w:rFonts w:hint="default" w:ascii="Times New Roman" w:hAnsi="Times New Roman" w:eastAsia="楷体_GB2312" w:cs="Times New Roman"/>
          <w:b/>
          <w:bCs/>
          <w:lang w:val="en-US" w:eastAsia="zh-CN"/>
        </w:rPr>
      </w:pPr>
      <w:r>
        <w:rPr>
          <w:rFonts w:hint="default" w:ascii="Times New Roman" w:hAnsi="Times New Roman" w:eastAsia="方正小标宋简体" w:cs="Times New Roman"/>
          <w:kern w:val="2"/>
          <w:szCs w:val="44"/>
          <w:lang w:val="en-US" w:eastAsia="zh-CN" w:bidi="ar-SA"/>
        </w:rPr>
        <w:fldChar w:fldCharType="begin"/>
      </w:r>
      <w:r>
        <w:rPr>
          <w:rFonts w:hint="default" w:ascii="Times New Roman" w:hAnsi="Times New Roman" w:eastAsia="方正小标宋简体" w:cs="Times New Roman"/>
          <w:kern w:val="2"/>
          <w:szCs w:val="44"/>
          <w:lang w:val="en-US" w:eastAsia="zh-CN" w:bidi="ar-SA"/>
        </w:rPr>
        <w:instrText xml:space="preserve"> HYPERLINK \l _Toc19994 </w:instrText>
      </w:r>
      <w:r>
        <w:rPr>
          <w:rFonts w:hint="default" w:ascii="Times New Roman" w:hAnsi="Times New Roman" w:eastAsia="方正小标宋简体" w:cs="Times New Roman"/>
          <w:kern w:val="2"/>
          <w:szCs w:val="44"/>
          <w:lang w:val="en-US" w:eastAsia="zh-CN" w:bidi="ar-SA"/>
        </w:rPr>
        <w:fldChar w:fldCharType="separate"/>
      </w:r>
      <w:r>
        <w:rPr>
          <w:rFonts w:hint="default" w:ascii="Times New Roman" w:hAnsi="Times New Roman" w:eastAsia="楷体_GB2312" w:cs="Times New Roman"/>
          <w:b/>
          <w:bCs/>
          <w:lang w:val="en-US" w:eastAsia="zh-CN"/>
        </w:rPr>
        <w:t>二、重要文章、报道</w:t>
      </w:r>
    </w:p>
    <w:p w14:paraId="69C2DA18">
      <w:pPr>
        <w:pStyle w:val="8"/>
        <w:tabs>
          <w:tab w:val="right" w:leader="dot" w:pos="8845"/>
        </w:tabs>
        <w:rPr>
          <w:rFonts w:hint="default" w:eastAsia="仿宋_GB2312"/>
          <w:sz w:val="32"/>
          <w:lang w:val="en-US"/>
        </w:rPr>
      </w:pPr>
      <w:r>
        <w:rPr>
          <w:rFonts w:hint="default" w:ascii="Times New Roman" w:hAnsi="Times New Roman" w:eastAsia="黑体" w:cs="Times New Roman"/>
          <w:lang w:val="en-US" w:eastAsia="zh-CN"/>
        </w:rPr>
        <w:t>1.</w:t>
      </w:r>
      <w:r>
        <w:rPr>
          <w:rFonts w:hint="default" w:ascii="Times New Roman" w:hAnsi="Times New Roman" w:eastAsia="仿宋_GB2312" w:cs="Times New Roman"/>
          <w:lang w:val="en-US" w:eastAsia="zh-CN"/>
        </w:rPr>
        <w:t>《求是》杂志发表习近平总书记重要文章 推动海洋经济高质量发展</w:t>
      </w:r>
      <w:r>
        <w:rPr>
          <w:rFonts w:hint="default" w:ascii="Times New Roman" w:hAnsi="Times New Roman" w:eastAsia="仿宋_GB2312" w:cs="Times New Roman"/>
          <w:sz w:val="32"/>
        </w:rPr>
        <w:tab/>
      </w:r>
      <w:r>
        <w:rPr>
          <w:rFonts w:hint="default" w:ascii="Times New Roman" w:hAnsi="Times New Roman" w:eastAsia="仿宋_GB2312" w:cs="Times New Roman"/>
          <w:sz w:val="32"/>
        </w:rPr>
        <w:fldChar w:fldCharType="begin"/>
      </w:r>
      <w:r>
        <w:rPr>
          <w:rFonts w:hint="default" w:ascii="Times New Roman" w:hAnsi="Times New Roman" w:eastAsia="仿宋_GB2312" w:cs="Times New Roman"/>
          <w:sz w:val="32"/>
        </w:rPr>
        <w:instrText xml:space="preserve"> PAGEREF _Toc19994 \h </w:instrText>
      </w:r>
      <w:r>
        <w:rPr>
          <w:rFonts w:hint="default" w:ascii="Times New Roman" w:hAnsi="Times New Roman" w:eastAsia="仿宋_GB2312" w:cs="Times New Roman"/>
          <w:sz w:val="32"/>
        </w:rPr>
        <w:fldChar w:fldCharType="separate"/>
      </w:r>
      <w:r>
        <w:rPr>
          <w:rFonts w:hint="default" w:ascii="Times New Roman" w:hAnsi="Times New Roman" w:eastAsia="仿宋_GB2312" w:cs="Times New Roman"/>
          <w:sz w:val="32"/>
        </w:rPr>
        <w:t>17</w:t>
      </w:r>
      <w:r>
        <w:rPr>
          <w:rFonts w:hint="default" w:ascii="Times New Roman" w:hAnsi="Times New Roman" w:eastAsia="仿宋_GB2312" w:cs="Times New Roman"/>
          <w:sz w:val="32"/>
        </w:rPr>
        <w:fldChar w:fldCharType="end"/>
      </w:r>
      <w:r>
        <w:rPr>
          <w:rFonts w:hint="default" w:ascii="Times New Roman" w:hAnsi="Times New Roman" w:eastAsia="方正小标宋简体" w:cs="Times New Roman"/>
          <w:kern w:val="2"/>
          <w:szCs w:val="44"/>
          <w:lang w:val="en-US" w:eastAsia="zh-CN" w:bidi="ar-SA"/>
        </w:rPr>
        <w:fldChar w:fldCharType="end"/>
      </w:r>
      <w:r>
        <w:rPr>
          <w:rFonts w:hint="eastAsia" w:ascii="Times New Roman" w:hAnsi="Times New Roman" w:eastAsia="方正小标宋简体" w:cs="Times New Roman"/>
          <w:kern w:val="2"/>
          <w:szCs w:val="44"/>
          <w:lang w:val="en-US" w:eastAsia="zh-CN" w:bidi="ar-SA"/>
        </w:rPr>
        <w:t>3</w:t>
      </w:r>
    </w:p>
    <w:p w14:paraId="40E6241E">
      <w:pPr>
        <w:ind w:left="0" w:leftChars="0" w:firstLine="0" w:firstLineChars="0"/>
        <w:jc w:val="both"/>
        <w:rPr>
          <w:rFonts w:hint="default" w:ascii="Times New Roman" w:hAnsi="Times New Roman" w:eastAsia="方正小标宋简体" w:cs="Times New Roman"/>
          <w:kern w:val="2"/>
          <w:sz w:val="32"/>
          <w:szCs w:val="44"/>
          <w:lang w:val="en-US" w:eastAsia="zh-CN" w:bidi="ar-SA"/>
        </w:rPr>
      </w:pPr>
      <w:r>
        <w:rPr>
          <w:rFonts w:hint="default" w:ascii="Times New Roman" w:hAnsi="Times New Roman" w:eastAsia="方正小标宋简体" w:cs="Times New Roman"/>
          <w:kern w:val="2"/>
          <w:szCs w:val="44"/>
          <w:lang w:val="en-US" w:eastAsia="zh-CN" w:bidi="ar-SA"/>
        </w:rPr>
        <w:fldChar w:fldCharType="end"/>
      </w:r>
    </w:p>
    <w:p w14:paraId="625A52ED">
      <w:pPr>
        <w:ind w:left="0" w:leftChars="0" w:firstLine="0" w:firstLineChars="0"/>
        <w:jc w:val="both"/>
        <w:rPr>
          <w:rFonts w:hint="default" w:ascii="Times New Roman" w:hAnsi="Times New Roman" w:eastAsia="方正小标宋简体" w:cs="Times New Roman"/>
          <w:kern w:val="2"/>
          <w:sz w:val="32"/>
          <w:szCs w:val="44"/>
          <w:lang w:val="en-US" w:eastAsia="zh-CN" w:bidi="ar-SA"/>
        </w:rPr>
      </w:pPr>
    </w:p>
    <w:p w14:paraId="0C538B8D">
      <w:pPr>
        <w:ind w:left="0" w:leftChars="0" w:firstLine="0" w:firstLineChars="0"/>
        <w:jc w:val="both"/>
        <w:rPr>
          <w:rFonts w:hint="default" w:ascii="Times New Roman" w:hAnsi="Times New Roman" w:eastAsia="方正小标宋简体" w:cs="Times New Roman"/>
          <w:sz w:val="44"/>
          <w:szCs w:val="44"/>
        </w:rPr>
      </w:pPr>
    </w:p>
    <w:p w14:paraId="3A23E6D6">
      <w:pPr>
        <w:ind w:left="0" w:leftChars="0" w:firstLine="0" w:firstLineChars="0"/>
        <w:jc w:val="both"/>
        <w:rPr>
          <w:rFonts w:hint="default" w:ascii="Times New Roman" w:hAnsi="Times New Roman" w:eastAsia="方正小标宋简体" w:cs="Times New Roman"/>
          <w:sz w:val="44"/>
          <w:szCs w:val="44"/>
        </w:rPr>
      </w:pPr>
    </w:p>
    <w:p w14:paraId="4F3A9BA5">
      <w:pPr>
        <w:ind w:left="0" w:leftChars="0" w:firstLine="0" w:firstLineChars="0"/>
        <w:jc w:val="both"/>
        <w:rPr>
          <w:rFonts w:hint="default" w:ascii="Times New Roman" w:hAnsi="Times New Roman" w:eastAsia="方正小标宋简体" w:cs="Times New Roman"/>
          <w:sz w:val="44"/>
          <w:szCs w:val="44"/>
        </w:rPr>
        <w:sectPr>
          <w:pgSz w:w="11906" w:h="16838"/>
          <w:pgMar w:top="2098" w:right="1474" w:bottom="1984" w:left="1587" w:header="851" w:footer="992" w:gutter="0"/>
          <w:cols w:space="720" w:num="1"/>
          <w:rtlGutter w:val="0"/>
          <w:docGrid w:type="lines" w:linePitch="312" w:charSpace="0"/>
        </w:sectPr>
      </w:pPr>
    </w:p>
    <w:p w14:paraId="527A1E47">
      <w:pPr>
        <w:ind w:left="0" w:leftChars="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一、重要会议、讲话、文件精神</w:t>
      </w:r>
    </w:p>
    <w:p w14:paraId="4C5AFBDD">
      <w:pPr>
        <w:ind w:left="0" w:leftChars="0"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1.政府工作报告</w:t>
      </w:r>
    </w:p>
    <w:p w14:paraId="6EC6B45F">
      <w:pPr>
        <w:ind w:left="0" w:leftChars="0" w:firstLine="643" w:firstLineChars="200"/>
        <w:jc w:val="both"/>
        <w:rPr>
          <w:rFonts w:hint="eastAsia" w:ascii="楷体_GB2312" w:hAnsi="楷体_GB2312" w:eastAsia="楷体_GB2312" w:cs="楷体_GB2312"/>
          <w:b/>
          <w:bCs/>
          <w:sz w:val="32"/>
          <w:szCs w:val="32"/>
          <w:lang w:val="en-US" w:eastAsia="zh-CN"/>
        </w:rPr>
      </w:pPr>
    </w:p>
    <w:p w14:paraId="730DD13B">
      <w:pPr>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政府工作报告</w:t>
      </w:r>
    </w:p>
    <w:p w14:paraId="5C2B11E1">
      <w:pPr>
        <w:jc w:val="both"/>
        <w:rPr>
          <w:rFonts w:hint="default" w:ascii="Times New Roman" w:hAnsi="Times New Roman" w:eastAsia="仿宋_GB2312" w:cs="Times New Roman"/>
          <w:sz w:val="32"/>
          <w:szCs w:val="32"/>
        </w:rPr>
      </w:pPr>
      <w:r>
        <w:rPr>
          <w:rFonts w:hint="default" w:ascii="Times New Roman" w:hAnsi="Times New Roman" w:eastAsia="方正小标宋简体" w:cs="Times New Roman"/>
          <w:sz w:val="32"/>
          <w:szCs w:val="32"/>
        </w:rPr>
        <w:t>——二〇二六年三月五日在第十四届全国人民代表大会第四次会议上</w:t>
      </w:r>
    </w:p>
    <w:p w14:paraId="5D505C13">
      <w:pPr>
        <w:ind w:left="0" w:leftChars="0"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国务院总理 李 强</w:t>
      </w:r>
    </w:p>
    <w:p w14:paraId="34C98058">
      <w:pPr>
        <w:rPr>
          <w:rFonts w:hint="eastAsia" w:ascii="Times New Roman" w:hAnsi="Times New Roman" w:eastAsia="仿宋_GB2312" w:cs="Times New Roman"/>
          <w:sz w:val="32"/>
          <w:lang w:val="en-US" w:eastAsia="zh-CN"/>
        </w:rPr>
      </w:pPr>
      <w:r>
        <w:rPr>
          <w:rFonts w:hint="eastAsia" w:eastAsia="仿宋_GB2312" w:cs="Times New Roman"/>
          <w:sz w:val="32"/>
          <w:lang w:val="en-US" w:eastAsia="zh-CN"/>
        </w:rPr>
        <w:t xml:space="preserve"> </w:t>
      </w:r>
    </w:p>
    <w:p w14:paraId="7F90B0F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各位代表：</w:t>
      </w:r>
    </w:p>
    <w:p w14:paraId="2F537A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现在，我代表国务院，向大会作政府工作报告，请予审议，并请全国政协委员提出意见。</w:t>
      </w:r>
    </w:p>
    <w:p w14:paraId="1B76F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lang w:eastAsia="zh-CN"/>
        </w:rPr>
      </w:pPr>
      <w:bookmarkStart w:id="0" w:name="_Toc4824"/>
      <w:r>
        <w:rPr>
          <w:rFonts w:hint="default" w:ascii="Times New Roman" w:hAnsi="Times New Roman" w:eastAsia="黑体" w:cs="Times New Roman"/>
        </w:rPr>
        <w:t>一、2025年工作回顾</w:t>
      </w:r>
      <w:bookmarkEnd w:id="0"/>
      <w:r>
        <w:rPr>
          <w:rFonts w:hint="eastAsia" w:eastAsia="黑体" w:cs="Times New Roman"/>
          <w:lang w:eastAsia="zh-CN"/>
        </w:rPr>
        <w:t xml:space="preserve"> </w:t>
      </w:r>
    </w:p>
    <w:p w14:paraId="364FC5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14:paraId="458AF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一年来，我国经济顶压前行、展现强大韧性。</w:t>
      </w:r>
      <w:r>
        <w:rPr>
          <w:rFonts w:hint="eastAsia" w:ascii="仿宋_GB2312" w:hAnsi="仿宋_GB2312" w:eastAsia="仿宋_GB2312" w:cs="仿宋_GB2312"/>
        </w:rPr>
        <w:t>经济运行总体平稳、稳中有进，国内生产总值增长5%，总量达到140.19万亿元。就业总体稳定，城镇新增就业1267万人，城镇调查失业率平均为5.2%。对外贸易较快增长，出口多元化成效明显，国际收支基本平衡。民生保障更加有力，居民收入增长和经济增长同步，脱贫攻坚成果巩固拓展，实施学前一年免费教育政策、惠及1400万儿童，全面实施育儿补贴制度、惠及3000多万婴幼儿。粮食产量达到1.43万亿斤。重点领域风险化解取得积极进展，社会大局保持稳定。</w:t>
      </w:r>
    </w:p>
    <w:p w14:paraId="51C807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一年来，我国发展向新向优、彰显蓬勃活力。</w:t>
      </w:r>
      <w:r>
        <w:rPr>
          <w:rFonts w:hint="eastAsia" w:ascii="仿宋_GB2312" w:hAnsi="仿宋_GB2312" w:eastAsia="仿宋_GB2312" w:cs="仿宋_GB2312"/>
        </w:rPr>
        <w:t>新质生产力稳步发展，科技创新成果丰硕，人工智能、生物医药、机器人、量子科技等研发应用走在世界前列，芯片自主研发有了新突破，天问二号开启“追星”之旅，北斗规模应用全面拓展，雅下水电工程开工建设，首艘国产电磁弹射型航母福建舰正式入列，国产大模型引领全球开源生态。产业结构持续优化，高技术制造业、装备制造业增加值分别增长9.4%、9.2%，工业机器人、集成电路产量分别增长28%、10.9%，新能源汽车年产量超过1600万辆，电动汽车充电设施突破2000万个。单位国内生产总值能耗降低5.1%，生态环境质量持续改善。</w:t>
      </w:r>
    </w:p>
    <w:p w14:paraId="41513B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过去一年取得的成绩来之不易。我们面对的是多年少有的外部冲击挑战和国内两难多难问题交织叠加的复杂严峻形势。国际经贸环境急剧变化，单边主义、保护主义陡然升级，市场预期受到频繁扰动，对外贸易明显承压。国内经济深刻转型，深层次结构性矛盾问题持续显现，消费、投资增长动力不足。以习近平同志为核心的党中央带领我们沉着应对、勇毅前行，对外有理有力有效开展经贸斗争，坚定维护我国利益，中美5轮经贸磋商取得积极成果，两国元首釜山会晤达成重要共识，为经贸合作注入更多稳定性；对内打好政策“组合拳”，加强宏观政策逆周期调节，着力稳就业、稳企业、稳市场、稳预期，集中力量办好自己的事。我们从最坏处打算，向最好处努力，不仅稳住了宏观经济大盘，推动高质量发展取得新成效，而且极大提振了全社会的士气和信心。在这个过程中，我们进一步认识到，做好新形势下经济工作必须充分挖掘经济潜能、必须坚持政策支持和改革创新并举、必须做到既“放得活”又“管得好”、必须坚持投资于物和投资于人紧密结合、必须以苦练内功来应对外部挑战。实践再次证明，坚持党中央集中统一领导是应对一切困难、做好各项工作的根本保证，中国人民有信心有智慧有力量战胜一切艰难险阻！</w:t>
      </w:r>
    </w:p>
    <w:p w14:paraId="241F0F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我们深入学习贯彻习近平新时代中国特色社会主义思想，全面贯彻落实党的二十大和二十届历次全会精神，按照党中央决策部署，一年来主要做了以下工作。</w:t>
      </w:r>
    </w:p>
    <w:p w14:paraId="0381BB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一是实施更加积极有为的宏观政策，着力稳定经济运行。</w:t>
      </w:r>
      <w:r>
        <w:rPr>
          <w:rFonts w:hint="eastAsia" w:ascii="仿宋_GB2312" w:hAnsi="仿宋_GB2312" w:eastAsia="仿宋_GB2312" w:cs="仿宋_GB2312"/>
        </w:rPr>
        <w:t>年初我们就做好了应对复杂多变局面的充分准备，一季度经济起势有力、开局良好。二季度以后，针对经济运行中的新情况特别是美国加征关税冲击，充分发挥存量政策作用，加力推出稳就业稳经济等一系列新举措，有力对冲了经济下行压力，保障了全年主要目标实现。实施更加积极的财政政策和适度宽松的货币政策，扩大财政支出规模，加强重点领域财力保障，下调政策利率和存款准备金率，持续降低社会综合融资成本。加力扩围实施消费品以旧换新，带动商品销售额超过2.6万亿元，文旅体等服务消费潜力加快释放，社会消费品零售总额突破50万亿元。围绕扩大有效投资，加强“两重”项目建设，加快设备更新资金拨付使用，设备购置投资增长11.8%，设立新型政策性金融工具补充重点项目资本金。持续用力稳楼市，合理控制新增房地产用地供应，因城施策调减限制性措施，下调个人住房公积金贷款利率，“保交房”任务全面完成。综合施策稳股市，资本市场回稳回暖、交易活跃。深入实施一揽子化债方案，有序置换地方政府存量隐性债务，持续压减融资平台数量，地方债务结构不断优化。一体推进地方中小金融机构风险处置和转型发展，高风险机构数量大幅下降，风险化解成效明显。</w:t>
      </w:r>
    </w:p>
    <w:p w14:paraId="36F508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二是坚持创新驱动发展，建设现代化产业体系。</w:t>
      </w:r>
      <w:r>
        <w:rPr>
          <w:rFonts w:hint="eastAsia" w:ascii="仿宋_GB2312" w:hAnsi="仿宋_GB2312" w:eastAsia="仿宋_GB2312" w:cs="仿宋_GB2312"/>
        </w:rPr>
        <w:t>全面推进科技强国建设战略部署，强化国家战略科技力量建设，完善区域科技创新体系，加强基础前沿领域体系化布局和关键核心技术攻关。全社会研发经费投入强度达到2.8%，技术合同成交额增长10.8%。科技创新和产业创新融合加快，传统产业转型升级不断深入，新兴产业、未来产业蓬勃发展，现代服务业保持快速发展势头。聚焦重点领域制定修订583项国家标准。持续推进制造业数字化转型和“人工智能+”行动，行业应用加快落地，新型智能终端不断涌现。数据要素潜力加快释放，数字经济核心产业增加值占国内生产总值的比重提高到10.5%以上。</w:t>
      </w:r>
    </w:p>
    <w:p w14:paraId="2438AE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三是进一步深化改革开放，畅通国民经济循环。</w:t>
      </w:r>
      <w:r>
        <w:rPr>
          <w:rFonts w:hint="eastAsia" w:ascii="仿宋_GB2312" w:hAnsi="仿宋_GB2312" w:eastAsia="仿宋_GB2312" w:cs="仿宋_GB2312"/>
        </w:rPr>
        <w:t>扎实落实党的二十届三中全会改革部署。实施全国统一大市场建设指引，出台新版市场准入负面清单，系统整治招标投标、招商引资领域突出问题，推进重点行业产能治理，综合整治“内卷式”竞争成效显现。开展要素市场化配置综合改革试点。国有企业改革深化提升行动取得积极成效，出台进一步促进民间投资发展的措施。加快加力清理拖欠企业账款。有序推进自主开放、单边开放，稳步扩大单方面免签或全面互免签证。加大稳外贸力度，进出口量稳质升，出口增长6.1%。出台稳外资行动方案，新设外资企业数量增长19.1%。实施自由贸易试验区提升战略，海南自由贸易港启动全岛封关运作。扎实推进高质量共建“一带一路”，各领域务实合作水平不断提升。</w:t>
      </w:r>
    </w:p>
    <w:p w14:paraId="78703A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四是统筹推进新型城镇化和乡村全面振兴，促进城乡区域协调发展。</w:t>
      </w:r>
      <w:r>
        <w:rPr>
          <w:rFonts w:hint="eastAsia" w:ascii="仿宋_GB2312" w:hAnsi="仿宋_GB2312" w:eastAsia="仿宋_GB2312" w:cs="仿宋_GB2312"/>
        </w:rPr>
        <w:t>贯彻中央城市工作会议部署，培育发展现代化都市圈，加强城市规划建设治理，持续实施城市更新，落实好农业转移人口市民化政策，开展新型城镇化试点，常住人口城镇化率达到67.9%。着力稳面积、提单产、抗灾害，再夺粮食丰收。扎实做好巩固拓展脱贫攻坚成果同乡村振兴有效衔接，脱贫人口务工就业规模稳定在3000万人以上。加大区域战略实施力度，区域联动发展水平不断提升。</w:t>
      </w:r>
    </w:p>
    <w:p w14:paraId="06B6D6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五是切实抓好民生保障，积极发展社会事业。</w:t>
      </w:r>
      <w:r>
        <w:rPr>
          <w:rFonts w:hint="eastAsia" w:ascii="仿宋_GB2312" w:hAnsi="仿宋_GB2312" w:eastAsia="仿宋_GB2312" w:cs="仿宋_GB2312"/>
        </w:rPr>
        <w:t>出台稳就业支持政策，开展大规模职业技能提升培训行动，重点群体就业保持稳定。推进教育强国建设三年行动计划，推动高校学科专业调整，加强县域普通高中建设。实施医疗卫生强基工程。完善儿科和精神卫生服务体系，全国二三级公立综合医院儿科服务实现全覆盖。有效防控基孔肯雅热等传染病疫情。健全基本医保参保长效机制，优化医药集采措施，推出商业健康保险创新药目录，长期护理保险制度覆盖3亿人。渐进式延迟法定退休年龄改革稳妥实施。城乡居民基础养老金月最低标准提高20元，在全国实施个人养老金制度，开展养老服务消费补贴试点。持续推进社会救助扩围增效，加强重度残疾人托养照护，完善困境儿童福利保障措施。提高优抚标准。发展文化事业和文化产业，旅游业活力显现，国内出游人次增长16.2%，入境旅游人次增长17.1%。成功举办第九届亚洲冬季运动会、第十五届全国运动会，群众体育赛事和全民健身活动蓬勃开展。</w:t>
      </w:r>
    </w:p>
    <w:p w14:paraId="3CB718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六是加快美丽中国建设，推动绿色低碳发展。</w:t>
      </w:r>
      <w:r>
        <w:rPr>
          <w:rFonts w:hint="eastAsia" w:ascii="仿宋_GB2312" w:hAnsi="仿宋_GB2312" w:eastAsia="仿宋_GB2312" w:cs="仿宋_GB2312"/>
        </w:rPr>
        <w:t>扎实开展大气污染防治提质增效行动，地级及以上城市细颗粒物（PM&lt;sub&gt;2.5&lt;/sub&gt;）平均浓度下降4.4%。持续加强大江大河和重要湖库保护，地表水水质优良断面比例提高到91.4%。实施生物多样性保护重大工程，生态系统整体质量与稳定性进一步提升。启动实施美丽中国先行区建设。加快重点行业绿色低碳转型。第一批“沙戈荒”新能源基地项目基本建成投产，新型储能装机规模超过1.3亿千瓦，非化石能源消费占比达到21.7%。宣布应对气候变化2035年国家自主贡献目标，充分展现负责任大国担当。</w:t>
      </w:r>
    </w:p>
    <w:p w14:paraId="05DCA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七是持续加强政府建设，创新和完善社会治理。</w:t>
      </w:r>
      <w:r>
        <w:rPr>
          <w:rFonts w:hint="eastAsia" w:ascii="仿宋_GB2312" w:hAnsi="仿宋_GB2312" w:eastAsia="仿宋_GB2312" w:cs="仿宋_GB2312"/>
        </w:rPr>
        <w:t>贯彻落实党中央全面从严治党战略部署，扎实开展深入贯彻中央八项规定精神学习教育，加强党风廉政建设和反腐败斗争，大力整治形式主义为基层减负。深入推进法治政府建设，提请全国人大常委会审议法律议案13件，制定修订行政法规30部。自觉依法接受监督。认真办理人大代表议案、建议和政协委员提案。开展规范涉企行政执法专项行动。健全“高效办成一件事”重点事项常态化推进机制。开展推动高质量发展综合督查。加强城乡基层治理。做好新就业群体服务管理。提升信访工作法治化水平。持续推进安全生产治本攻坚三年行动，生产安全事故总起数下降8.7%。有效应对部分地区洪涝、干旱、台风、地震等自然灾害。全力维护国家安全和社会稳定，积极预防、依法打击各类违法犯罪活动，平安中国建设取得新进展。</w:t>
      </w:r>
    </w:p>
    <w:p w14:paraId="282FC6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过去一年，中国特色大国外交取得新成效。习近平主席等党和国家领导人出访多国，出席中国—中亚峰会、亚太经合组织领导人非正式会议、金砖国家领导人线上峰会、二十国集团领导人峰会等重大多双边活动。成功举办上海合作组织天津峰会、全球妇女峰会、中拉论坛第四届部长级会议等重大主场外交活动。坚决反对保护主义和单边霸凌行径，坚定维护多边主义和开放合作，坚定捍卫二战胜利成果，提出全球治理倡议，推动构建人类命运共同体，在应对全球性挑战和解决国际地区热点问题中发挥积极建设性作用。中国为促进世界和平与发展作出了重要贡献。</w:t>
      </w:r>
    </w:p>
    <w:p w14:paraId="145DF4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2025年是“十四五”收官之年。过去5年，以习近平同志为核心的党中央团结带领全国各族人民，有效应对世纪疫情等超乎寻常的冲击挑战，推动党和国家事业取得新的重大成就，第二个百年奋斗目标新征程实现良好开局。经济总量实现新跃升，国内生产总值连续跨越110万亿元、120万亿元、130万亿元、140万亿元台阶，年均增长5.4%、明显高于全球平均增速。科技和产业创新取得新突破，全社会研发经费投入年均增长10%，每万人口高价值发明专利拥有量达到16件，攻克一批重大关键核心技术，制造业增加值规模连续16年保持全球第一，产业链供应链韧性和安全水平稳步提升。改革开放迈出新步伐，重点领域改革扎实推进，全国统一大市场加快构建，高水平对外开放不断扩大，制造业领域外资准入限制措施全部取消，货物贸易第一大国地位更加巩固，高质量共建“一带一路”走深走实。民生福祉达到新水平，居民人均可支配收入年均增长5.4%，城镇新增就业累计超过6000万人，巩固拓展脱贫攻坚成果同乡村振兴有效衔接5年过渡期任务圆满完成，脱贫地区农村居民收入增速持续高于全国农村平均水平，基本养老保险全国统筹稳步实施，劳动年龄人口平均受教育年限增加到11.3年，人均预期寿命提高到79.25岁，人民群众文化生活更加丰富多彩。生态文明建设取得新进步，地级及以上城市空气质量优良天数比例提高到89.3%，森林覆盖率提高到25%以上，成为全球森林资源增长最快最多的国家，构建起全球最大、发展最快的可再生能源体系。安全保障能力实现新提升，粮食、能源资源、金融、网络等重点领域安全能力建设明显加强，社会大局保持稳定，牢牢守住了不发生系统性风险底线。经过艰苦奋斗、不懈努力，“十四五”规划《纲要》确定的20项主要指标、17方面重大战略任务、102项重大工程项目胜利完成。</w:t>
      </w:r>
    </w:p>
    <w:p w14:paraId="7DA8C2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这些重大成就的取得，根本在于以习近平同志为核心的党中央领航掌舵，在于习近平新时代中国特色社会主义思想科学指引，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25B3C2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在肯定成绩的同时，我们也清醒看到面临的困难和挑战。外部环境变化影响加深，地缘政治风险持续上升，世界经济动能疲弱，多边主义、自由贸易受到严重冲击。国内经济发展和转型中面临的老问题、新挑战仍然不少。新旧动能转换任务艰巨，供强需弱矛盾突出，市场预期偏弱，重点领域风险隐患较多。一些企业经营困难，群众就业和增收难度加大，部分地方财政收支矛盾突出，房地产市场仍在调整。公共服务仍有不少短板弱项。政府工作存在不足，一些政策实施效果仍待提高，一些干部抓高质量发展的能力不足、办法不多，有的政绩观存在偏差，不作为、乱作为、假作为，搞表面文章，一些领域和地方腐败问题依然多发。困难不容忽视，信心必须坚定。我国经济长期向好的支撑条件和基本趋势没有改变，制度优势和大国优势不断彰显。经历了风雨洗礼，我们的意志更加坚强、步伐更加坚定，只要用足用好优势、妥善应对挑战，我国的发展前景一定更加可期！</w:t>
      </w:r>
    </w:p>
    <w:p w14:paraId="62354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lang w:eastAsia="zh-CN"/>
        </w:rPr>
      </w:pPr>
      <w:bookmarkStart w:id="1" w:name="_Toc3611"/>
      <w:r>
        <w:rPr>
          <w:rFonts w:hint="eastAsia" w:ascii="黑体" w:hAnsi="黑体" w:eastAsia="黑体" w:cs="黑体"/>
        </w:rPr>
        <w:t>二、“十五五”时期主要目标和重大任务</w:t>
      </w:r>
      <w:bookmarkEnd w:id="1"/>
      <w:r>
        <w:rPr>
          <w:rFonts w:hint="eastAsia" w:ascii="黑体" w:hAnsi="黑体" w:eastAsia="黑体" w:cs="黑体"/>
          <w:lang w:eastAsia="zh-CN"/>
        </w:rPr>
        <w:t xml:space="preserve"> </w:t>
      </w:r>
    </w:p>
    <w:p w14:paraId="10A1F3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根据《中共中央关于制定国民经济和社会发展第十五个五年规划的建议》，国务院编制了《中华人民共和国国民经济和社会发展第十五个五年规划纲要（草案）》，提交大会审查。这里就主要目标指标、重大战略任务、重大工程项目作简要报告。</w:t>
      </w:r>
    </w:p>
    <w:p w14:paraId="254DF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rPr>
      </w:pPr>
      <w:r>
        <w:rPr>
          <w:rFonts w:hint="eastAsia" w:ascii="楷体_GB2312" w:hAnsi="楷体_GB2312" w:eastAsia="楷体_GB2312" w:cs="楷体_GB2312"/>
        </w:rPr>
        <w:t>（一）关于主要目标指标</w:t>
      </w:r>
    </w:p>
    <w:p w14:paraId="0F4F35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贯彻落实党中央《建议》明确的主要目标，《纲要（草案）》细化提出20项主要指标。经济发展方面，围绕增长、结构、效率提出3项指标。其中，综合考虑国内外形势和各方面因素，兼顾需要与可能，提出国内生产总值增长保持在合理区间、各年度视情提出，为到2035年人均国内生产总值比2020年翻一番、达到中等发达国家水平打好基础。创新驱动方面，围绕创新投入及其成效提出3项指标。其中，充分考虑研发投入增长趋势和企业投入能力，提出全社会研发经费投入年均增长7%以上，与“十四五”规划目标保持一致，确保研发投入力度不减。民生福祉方面，为更好解决人民群众急难愁盼问题，针对性提出就业、收入、教育、医疗、健康、“一老一小”等7项指标。绿色低碳方面，围绕降碳减污、生态环保等提出5项指标。其中，根据国家自主贡献目标，提出单位国内生产总值二氧化碳排放累计降低17%，继续推动重点领域绿色低碳转型。安全保障方面，围绕粮食、能源生产能力提出2项指标，着力夯实国家安全重要基础保障。</w:t>
      </w:r>
    </w:p>
    <w:p w14:paraId="21171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rPr>
      </w:pPr>
      <w:r>
        <w:rPr>
          <w:rFonts w:hint="eastAsia" w:ascii="楷体_GB2312" w:hAnsi="楷体_GB2312" w:eastAsia="楷体_GB2312" w:cs="楷体_GB2312"/>
        </w:rPr>
        <w:t>（二）关于重大战略任务</w:t>
      </w:r>
    </w:p>
    <w:p w14:paraId="2CB0D5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《纲要（草案）》分领域阐述了“十五五”发展的重大战略任务，突出体现四个方面。</w:t>
      </w:r>
    </w:p>
    <w:p w14:paraId="6CA9C5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一是突出推动高质量发展。</w:t>
      </w:r>
      <w:r>
        <w:rPr>
          <w:rFonts w:hint="eastAsia" w:ascii="仿宋_GB2312" w:hAnsi="仿宋_GB2312" w:eastAsia="仿宋_GB2312" w:cs="仿宋_GB2312"/>
        </w:rPr>
        <w:t>发展新质生产力是高质量发展的内在要求。《纲要（草案）》强调科技创新的引领作用，着眼巩固壮大实体经济根基，构建以先进制造业为骨干的现代化产业体系。着眼高水平科技自立自强，加强原始创新和关键核心技术攻关，深入推进数字中国建设，数字经济核心产业增加值占国内生产总值比重达到12.5%。着眼建设美丽中国，持续深入推进污染防治攻坚和生态系统优化，加快形成绿色生产生活方式，确保碳达峰目标如期实现。</w:t>
      </w:r>
    </w:p>
    <w:p w14:paraId="341EEB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二是突出做强国内大循环。</w:t>
      </w:r>
      <w:r>
        <w:rPr>
          <w:rFonts w:hint="eastAsia" w:ascii="仿宋_GB2312" w:hAnsi="仿宋_GB2312" w:eastAsia="仿宋_GB2312" w:cs="仿宋_GB2312"/>
        </w:rPr>
        <w:t>在外部环境复杂严峻的情况下，必须坚持扩大内需这个战略基点。《纲要（草案）》着眼增强国内大循环内生动力和可靠性，坚持惠民生和促消费、投资于物和投资于人紧密结合，大力提振消费，促进居民消费率明显提高，扩大有效投资。着眼充分释放我国超大规模市场红利，纵深推进全国统一大市场建设，破除地方保护和市场分割。着眼增强高质量发展动力，充分激发各类经营主体活力，加快完善要素市场化配置体制机制。着眼畅通国内国际双循环，统筹用好全球要素和市场资源。</w:t>
      </w:r>
    </w:p>
    <w:p w14:paraId="0789A5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三是突出推进全体人民共同富裕。</w:t>
      </w:r>
      <w:r>
        <w:rPr>
          <w:rFonts w:hint="eastAsia" w:ascii="仿宋_GB2312" w:hAnsi="仿宋_GB2312" w:eastAsia="仿宋_GB2312" w:cs="仿宋_GB2312"/>
        </w:rPr>
        <w:t>中国式现代化是全体人民共同富裕的现代化。《纲要（草案）》着眼人口高质量发展，建设生育友好型社会，健全人口服务体系；办好人民满意的教育，劳动年龄人口平均受教育年限提高到11.7年；加快建设健康中国和体育强国，人均预期寿命提高到80岁；积极应对人口老龄化，养老机构护理型床位占比提高到73%；促进高质量充分就业，完善收入分配制度，健全社会保障体系。着眼缩小区域差距和城乡差别，加快农业农村现代化，持续巩固拓展脱贫攻坚成果，优化重大生产力布局，深入推进以人为本的新型城镇化。着眼促进人民精神生活共同富裕，弘扬和践行社会主义核心价值观，大力繁荣文化事业，加快发展文化产业，提升中华文明传播力影响力。</w:t>
      </w:r>
    </w:p>
    <w:p w14:paraId="7844F2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四是突出统筹发展和安全。</w:t>
      </w:r>
      <w:r>
        <w:rPr>
          <w:rFonts w:hint="eastAsia" w:ascii="仿宋_GB2312" w:hAnsi="仿宋_GB2312" w:eastAsia="仿宋_GB2312" w:cs="仿宋_GB2312"/>
        </w:rPr>
        <w:t>安全是发展的前提，发展是安全的保障。《纲要（草案）》贯彻总体国家安全观，着眼推进国家安全体系和能力现代化提出多项任务举措。增强粮食、能源资源等供给保障能力，粮食综合生产能力达到1.45万亿斤左右，能源综合生产能力达到58亿吨标准煤。统筹推进房地产、地方政府债务、地方中小金融机构等风险有序化解。提高公共安全治理水平，有效维护社会安全稳定。</w:t>
      </w:r>
    </w:p>
    <w:p w14:paraId="4EB4F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rPr>
      </w:pPr>
      <w:r>
        <w:rPr>
          <w:rFonts w:hint="eastAsia" w:ascii="楷体_GB2312" w:hAnsi="楷体_GB2312" w:eastAsia="楷体_GB2312" w:cs="楷体_GB2312"/>
        </w:rPr>
        <w:t>（三）关于重大工程项目</w:t>
      </w:r>
    </w:p>
    <w:p w14:paraId="1DEE9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围绕推动“十五五”目标任务落实落地，统筹考虑战略性、牵引性和连续性，《纲要（草案）》提出6方面109项重大工程。引领新质生产力发展方面，围绕产业基础能力和竞争力提升、新产业新赛道培育发展、前沿科技攻关、创新基础能力提升提出28项工程。构建现代化基础设施体系方面，围绕国家综合立体交通网、新型能源体系、新型基础设施、对外开放平台等提出23项工程。促进城乡融合发展方面，围绕新型城镇化建设、农业农村现代化建设提出9项工程。保障和改善民生方面，围绕社会主义文化繁荣发展、高质量教育体系建设、健康中国建设、优化“一老一小”服务、社会关爱服务提出25项工程。推动绿色低碳转型方面，围绕碳达峰碳中和、环境质量提升、生态保护修复提出18项工程。重点领域安全保障方面，围绕粮食、能源安全等提出6项工程。这些重大工程兼顾当前和长远，既涉及“硬投资”也包含“软建设”。我们将注重以政府投资带动社会力量参与，更好发挥重大工程项目强基础、补短板、增后劲等重要作用。</w:t>
      </w:r>
    </w:p>
    <w:p w14:paraId="0661E7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展望未来，我们充满信心。在以习近平同志为核心的党中央坚强领导下，全国上下团结奋斗，一定能够把“十五五”宏伟蓝图变成美好现实。</w:t>
      </w:r>
    </w:p>
    <w:p w14:paraId="4B317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lang w:eastAsia="zh-CN"/>
        </w:rPr>
      </w:pPr>
      <w:bookmarkStart w:id="2" w:name="_Toc9024"/>
      <w:r>
        <w:rPr>
          <w:rFonts w:hint="eastAsia" w:ascii="黑体" w:hAnsi="黑体" w:eastAsia="黑体" w:cs="黑体"/>
        </w:rPr>
        <w:t>三、2026年经济社会发展总体要求和政策取向</w:t>
      </w:r>
      <w:bookmarkEnd w:id="2"/>
      <w:r>
        <w:rPr>
          <w:rFonts w:hint="eastAsia" w:ascii="黑体" w:hAnsi="黑体" w:eastAsia="黑体" w:cs="黑体"/>
          <w:lang w:eastAsia="zh-CN"/>
        </w:rPr>
        <w:t xml:space="preserve"> </w:t>
      </w:r>
    </w:p>
    <w:p w14:paraId="1F6F2C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今年是“十五五”开局之年。做好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003A30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14:paraId="062F77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提出这些预期目标，主要考虑是开局之年为调结构、防风险、促改革留出空间，为后期更好发展打牢基础。经济增长目标同2035年远景目标总体衔接，与我国经济长期增长潜力基本吻合，实现这个目标具备有利条件，各地区要结合实际，通过扎实工作争取好的结果。城镇调查失业率5.5%左右，体现了在就业总量和结构性压力较大的情况下，坚持就业优先政策导向和加大稳就业力度的要求。居民消费价格涨幅2%左右，考虑了预期引导和现实可能，我们将通过改善总供求关系，推动价格总水平由负转正、消费价格合理温和回升，促进经济良性循环。单位国内生产总值二氧化碳排放降低3.8%左右，综合考虑了经济社会发展、绿色低碳转型和国家能源安全等多种需要，有利于有序实现2030年前碳达峰目标。</w:t>
      </w:r>
    </w:p>
    <w:p w14:paraId="4F21A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在政策取向上，我们将坚持稳中求进、提质增效，发挥存量政策和增量政策集成效应，加大逆周期和跨周期调节力度，切实提升宏观经济治理效能。</w:t>
      </w:r>
    </w:p>
    <w:p w14:paraId="17AA7B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继续实施更加积极的财政政策。</w:t>
      </w:r>
      <w:r>
        <w:rPr>
          <w:rFonts w:hint="eastAsia" w:ascii="仿宋_GB2312" w:hAnsi="仿宋_GB2312" w:eastAsia="仿宋_GB2312" w:cs="仿宋_GB2312"/>
        </w:rPr>
        <w:t>今年赤字率拟按4%左右安排，赤字规模5.89万亿元、比上年增加2300亿元。一般公共预算支出规模将首次达到30万亿元、比上年增加约1.27万亿元。拟发行超长期特别国债1.3万亿元，持续支持“两重”建设、“两新”工作等。拟发行特别国债3000亿元，支持国有大型商业银行补充资本。拟安排地方政府专项债券4.4万亿元，完善专项债券项目负面清单管理和自审自发试点，重点支持建设重大项目、置换隐性债务、消化政府拖欠账款等。今年财政支出继续保持相当规模，要持续用力优化支出结构，更加注重支持提振消费、投资于人、保障民生等方面，提高财政资金使用效益。中央财政增加对地方财力性转移支付规模，开展整合统筹使用转移支付资金试点，增强地方自主财力和统筹能力。压实分级保障主体责任，兜牢基层“三保”底线。各级政府要更好“当家理财”，建立健全增收节支机制，积极盘活利用存量资源资产，严肃财经纪律，强化预算约束，严控一般性支出，坚决落实过紧日子的要求，务必把省下来的每一分钱都用到发展的关键点、群众的急需处。</w:t>
      </w:r>
    </w:p>
    <w:p w14:paraId="436999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继续实施适度宽松的货币政策。</w:t>
      </w:r>
      <w:r>
        <w:rPr>
          <w:rFonts w:hint="eastAsia" w:ascii="仿宋_GB2312" w:hAnsi="仿宋_GB2312" w:eastAsia="仿宋_GB2312" w:cs="仿宋_GB2312"/>
        </w:rPr>
        <w:t>把促进经济稳定增长、物价合理回升作为货币政策的重要考量，灵活高效运用降准降息等多种政策工具，保持流动性充裕，使社会融资规模、货币供应量增长同经济增长、价格总水平预期目标相匹配。优化创新结构性货币政策工具，适当增加规模，完善实施方式。畅通货币政策传导机制，充分发挥数据要素、知识产权等无形资产作用，强化考核评估、融资担保、风险补偿等支持措施，引导金融机构加力支持扩大内需、科技创新、中小微企业等重点领域。规范信贷市场经营行为，降低融资中间费用，促进社会综合融资成本低位运行。保持人民币汇率在合理均衡水平上的基本稳定。</w:t>
      </w:r>
    </w:p>
    <w:p w14:paraId="6391E5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强化改革举措与宏观政策协同。</w:t>
      </w:r>
      <w:r>
        <w:rPr>
          <w:rFonts w:hint="eastAsia" w:ascii="仿宋_GB2312" w:hAnsi="仿宋_GB2312" w:eastAsia="仿宋_GB2312" w:cs="仿宋_GB2312"/>
        </w:rPr>
        <w:t>推动高质量发展，既要政策给力，也要改革发力。要用改革的办法打通经济循环的卡点堵点，将政策效果转化为经济内生增长动能。增强宏观政策取向一致性和有效性，将各类经济政策和非经济政策、存量政策和增量政策纳入宏观政策取向一致性评估，使各类政策措施同向发力、形成合力。加强财政、金融、就业、产业等政策协同，深入挖掘政策结合点，创新实施工具，持续放大“组合拳”效应。健全预期管理机制，提振社会信心。</w:t>
      </w:r>
    </w:p>
    <w:p w14:paraId="38E32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lang w:eastAsia="zh-CN"/>
        </w:rPr>
      </w:pPr>
      <w:bookmarkStart w:id="3" w:name="_Toc28536"/>
      <w:r>
        <w:rPr>
          <w:rFonts w:hint="eastAsia" w:ascii="黑体" w:hAnsi="黑体" w:eastAsia="黑体" w:cs="黑体"/>
        </w:rPr>
        <w:t>四、2026年政府工作任务</w:t>
      </w:r>
      <w:bookmarkEnd w:id="3"/>
      <w:r>
        <w:rPr>
          <w:rFonts w:hint="eastAsia" w:ascii="黑体" w:hAnsi="黑体" w:eastAsia="黑体" w:cs="黑体"/>
          <w:lang w:eastAsia="zh-CN"/>
        </w:rPr>
        <w:t xml:space="preserve"> </w:t>
      </w:r>
    </w:p>
    <w:p w14:paraId="438B4C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党中央对今年工作作出了全面部署，我们要深入贯彻落实，扎实做好各项工作。</w:t>
      </w:r>
    </w:p>
    <w:p w14:paraId="3D6C0A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rPr>
        <w:t>（一）着力建设强大国内市场。坚持内需主导，统筹促消费和扩投资，拓展内需增长新空间，更好发挥我国超大规模市场优势。</w:t>
      </w:r>
    </w:p>
    <w:p w14:paraId="0FD309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深入实施提振消费专项行动。</w:t>
      </w:r>
      <w:r>
        <w:rPr>
          <w:rFonts w:hint="eastAsia" w:ascii="仿宋_GB2312" w:hAnsi="仿宋_GB2312" w:eastAsia="仿宋_GB2312" w:cs="仿宋_GB2312"/>
        </w:rPr>
        <w:t>激发居民消费内生动力和促消费政策并举，推动消费持续增长。制定实施城乡居民增收计划，在促进低收入群体增收、增加居民财产性收入、完善薪酬和社保制度等方面推出一批务实举措。促进商品消费扩容升级，安排超长期特别国债2500亿元支持消费品以旧换新，优化政策实施机制。设立1000亿元财政金融协同促内需专项资金，组合运用贷款贴息、融资担保、风险补偿等方式，支持扩大内需。扩大个人消费贷款和服务业经营主体贷款贴息政策支持领域，提高贴息上限，延长实施期限。实施好一次性信用修复政策。实施服务消费提质惠民行动，打造一批带动面广、显示度高的消费新场景，加快培育消费新增长点。活跃线下消费，激发下沉市场消费活力。清理消费领域不合理限制措施，释放文旅、赛事、康养等领域消费潜力。支持有条件的地方推广中小学春秋假，落实职工带薪错峰休假制度。加强消费者权益保护。优化入境消费环境，打造“购在中国”品牌。</w:t>
      </w:r>
    </w:p>
    <w:p w14:paraId="19A02C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充分挖掘释放有效投资潜力。</w:t>
      </w:r>
      <w:r>
        <w:rPr>
          <w:rFonts w:hint="eastAsia" w:ascii="仿宋_GB2312" w:hAnsi="仿宋_GB2312" w:eastAsia="仿宋_GB2312" w:cs="仿宋_GB2312"/>
        </w:rPr>
        <w:t>聚焦新质生产力、新型城镇化、人的全面发展等重点领域，增强市场主导的有效投资增长动力，提高民生类政府投资比重。今年拟安排中央预算内投资7550亿元，安排8000亿元超长期特别国债资金用于“两重”建设，分类提高中央投资补助标准。单列并提高用于项目建设的地方政府专项债券额度，继续向投资项目准备充分、资金用得好的地方倾斜。发行新型政策性金融工具8000亿元，带动更多社会资本参与投资。统筹用好各类政府投资资金，支持工作基础较好的地方探索编制全口径政府投资计划，加强项目资金监管，坚决防止低效无效投资。落实促进民间投资的政策措施，完善民营企业参与重大项目建设长效机制，引导民间投资向高技术、现代服务业等新赛道拓展，有效激发民间投资活力。</w:t>
      </w:r>
    </w:p>
    <w:p w14:paraId="5A94AB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rPr>
        <w:t>（二）加紧培育壮大新动能。坚持把发展经济的着力点放在实体经济上，因地制宜发展新质生产力，建设现代化产业体系。</w:t>
      </w:r>
    </w:p>
    <w:p w14:paraId="14FCB0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优化提升传统产业。</w:t>
      </w:r>
      <w:r>
        <w:rPr>
          <w:rFonts w:hint="eastAsia" w:ascii="仿宋_GB2312" w:hAnsi="仿宋_GB2312" w:eastAsia="仿宋_GB2312" w:cs="仿宋_GB2312"/>
        </w:rPr>
        <w:t>持续推进重点产业提质升级，新部署一批重大技术改造升级项目，安排2000亿元超长期特别国债资金支持大规模设备更新。实施新一轮制造业重点产业链高质量发展行动，强化产业基础再造和重大技术装备攻关，打造一批国家先进制造业集群。推行普惠性“上云用数赋智”服务，持续加大对中小企业数智化转型的支持。拓展智能制造，新建设一批智能工厂和智慧供应链。发展智能建造，培育现代化建筑产业链。加快推进标准升级，强化质量监督和品牌建设，支持企业提供更加优质、更具特色的产品。</w:t>
      </w:r>
    </w:p>
    <w:p w14:paraId="62CE86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培育壮大新兴产业和未来产业。</w:t>
      </w:r>
      <w:r>
        <w:rPr>
          <w:rFonts w:hint="eastAsia" w:ascii="仿宋_GB2312" w:hAnsi="仿宋_GB2312" w:eastAsia="仿宋_GB2312" w:cs="仿宋_GB2312"/>
        </w:rPr>
        <w:t>实施产业创新工程，鼓励央企国企带头开放应用场景，打造集成电路、航空航天、生物医药、低空经济等新兴支柱产业。建立未来产业投入增长和风险分担机制，培育发展未来能源、量子科技、生物制造、具身智能、脑机接口、6G等未来产业。构建促进专精特新中小企业发展壮大机制，培育独角兽企业。高效用好国家创业投资引导基金，大力发展创业投资、天使投资，政府投资基金要带头做耐心资本，推动更多初创企业加快成长为科技领军企业。</w:t>
      </w:r>
    </w:p>
    <w:p w14:paraId="6F926E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扩能提质服务业。</w:t>
      </w:r>
      <w:r>
        <w:rPr>
          <w:rFonts w:hint="eastAsia" w:ascii="仿宋_GB2312" w:hAnsi="仿宋_GB2312" w:eastAsia="仿宋_GB2312" w:cs="仿宋_GB2312"/>
        </w:rPr>
        <w:t>深化先进制造业和现代服务业融合发展试点。壮大科技服务市场，促进软件服务价值提升。发展金融、信息技术、现代物流、知识产权、检验检测等生产性服务业。促进生活性服务业高品质、多样化、便利化发展。有序放宽服务业准入限制，扩大重点领域服务业投资。健全服务业国家标准，培育“中国服务”品牌。</w:t>
      </w:r>
    </w:p>
    <w:p w14:paraId="4A9E8E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打造智能经济新形态。</w:t>
      </w:r>
      <w:r>
        <w:rPr>
          <w:rFonts w:hint="eastAsia" w:ascii="仿宋_GB2312" w:hAnsi="仿宋_GB2312" w:eastAsia="仿宋_GB2312" w:cs="仿宋_GB2312"/>
        </w:rPr>
        <w:t>深化拓展“人工智能+”，促进新一代智能终端和智能体加快推广，推动重点行业领域人工智能商业化规模化应用，培育智能原生新业态新模式。支持人工智能开源社区建设，促进开源生态繁荣。实施超大规模智算集群、算电协同等新基建工程，加强全国一体化算力监测调度，支持公共云发展。加快发展卫星互联网。打造“5G+工业互联网”升级版。深化数据资源开发利用，健全数据要素基础制度，建设高质量数据集。完善人工智能治理。</w:t>
      </w:r>
    </w:p>
    <w:p w14:paraId="040896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rPr>
        <w:t>（三）加快高水平科技自立自强。抓住新一轮科技革命和产业变革历史机遇，全面增强自主创新能力，为高质量发展提供科技支撑。</w:t>
      </w:r>
    </w:p>
    <w:p w14:paraId="54CAE2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加强原始创新和关键核心技术攻关。</w:t>
      </w:r>
      <w:r>
        <w:rPr>
          <w:rFonts w:hint="eastAsia" w:ascii="仿宋_GB2312" w:hAnsi="仿宋_GB2312" w:eastAsia="仿宋_GB2312" w:cs="仿宋_GB2312"/>
        </w:rPr>
        <w:t>发挥新型举国体制优势，全链条推进关键核心技术攻关，组织实施好重大科技项目，强化战略前沿领域布局，产出更多原创性成果。继续提高基础研究投入比重，加大长期稳定支持。统筹国家战略科技力量建设，深化科研院所改革，加强国家实验室和重大科技任务、重大科技基础设施统筹部署，全面强化科技基础条件自主保障。加强科学技术普及，提高全民科学素养。弘扬科学家精神，深化科技评价体系改革，优化有利于原创性、颠覆性创新的环境。</w:t>
      </w:r>
    </w:p>
    <w:p w14:paraId="7927DE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推动科技创新和产业创新深度融合。</w:t>
      </w:r>
      <w:r>
        <w:rPr>
          <w:rFonts w:hint="eastAsia" w:ascii="仿宋_GB2312" w:hAnsi="仿宋_GB2312" w:eastAsia="仿宋_GB2312" w:cs="仿宋_GB2312"/>
        </w:rPr>
        <w:t>建设北京（京津冀）、上海（长三角）、粤港澳大湾区国际科技创新中心，打造世界级科技创新策源地。强化企业创新主体地位，支持科技领军企业牵头组建创新联合体，提高承担国家重大科技项目比例。加强中试验证平台建设，完善新兴领域知识产权保护制度，加快重大科技成果高效转化应用。加强科技创新全链条全生命周期金融服务，对关键核心技术领域的科技型企业，常态化实施上市融资、并购重组“绿色通道”机制，以科技金融支持创新创造。</w:t>
      </w:r>
    </w:p>
    <w:p w14:paraId="3764A2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一体推进教育科技人才发展。</w:t>
      </w:r>
      <w:r>
        <w:rPr>
          <w:rFonts w:hint="eastAsia" w:ascii="仿宋_GB2312" w:hAnsi="仿宋_GB2312" w:eastAsia="仿宋_GB2312" w:cs="仿宋_GB2312"/>
        </w:rPr>
        <w:t>建立健全一体推进的协调机制，强化规划衔接、政策协同、资源统筹、评价联动。完善人才培养与经济社会发展需要适配机制，分类推进高校改革，动态调整学科专业，启动新一轮“双一流”建设，建设国家交叉学科中心，加大拔尖创新人才自主培养力度。加快建设国家战略人才力量，加强一流科技领军人才和青年人才引育，推进卓越工程师、大国工匠、高技能人才培养。建设一流产业技术工人队伍。高标准推进人才高地和人才平台建设，促进人才区域协调发展。深化人才发展体制机制改革，完善以创新能力、质量、实效、贡献为导向的评价体系，畅通人才交流通道，促进各类人才竞相成长、各展其能。</w:t>
      </w:r>
    </w:p>
    <w:p w14:paraId="7685D6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rPr>
        <w:t>（四）持续深化重点领域改革。围绕构建高水平社会主义市场经济体制，强化改革攻坚，深入破除体制机制障碍，增强高质量发展动力活力。</w:t>
      </w:r>
    </w:p>
    <w:p w14:paraId="32CE7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纵深推进全国统一大市场建设。</w:t>
      </w:r>
      <w:r>
        <w:rPr>
          <w:rFonts w:hint="eastAsia" w:ascii="仿宋_GB2312" w:hAnsi="仿宋_GB2312" w:eastAsia="仿宋_GB2312" w:cs="仿宋_GB2312"/>
        </w:rPr>
        <w:t>制定全国统一大市场建设条例。完善统计、财税、考核等制度，规范地方政府经济促进行为，出台地方政府招商引资鼓励和禁止事项清单，规范税收优惠、财政补贴政策。深化招标投标体制机制改革。加强反垄断、反不正当竞争，强化公平竞争审查刚性约束，综合运用产能调控、标准引领、价格执法、质量监管等手段，深入整治“内卷式”竞争，营造良好市场生态。深化要素市场化配置综合改革试点，将更多符合条件的地区纳入试点范围。深化综合交通运输体系改革，降低全社会物流成本。稳步推进公用事业和公共服务价格改革。</w:t>
      </w:r>
    </w:p>
    <w:p w14:paraId="34611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推进财税金融体制改革。</w:t>
      </w:r>
      <w:r>
        <w:rPr>
          <w:rFonts w:hint="eastAsia" w:ascii="仿宋_GB2312" w:hAnsi="仿宋_GB2312" w:eastAsia="仿宋_GB2312" w:cs="仿宋_GB2312"/>
        </w:rPr>
        <w:t>加大财政资源和预算统筹力度，提高国有资本收益收取比例。加强财政科学管理，深化零基预算改革，进一步扩大中央部门试点范围。健全地方税体系，拓展地方税源。调整优化消费税征税范围、税率，并推进部分品目征收环节后移。规范金融机构竞争秩序，深入推进地方中小金融机构减量提质。持续深化资本市场投融资综合改革，进一步健全中长期资金入市机制，完善投资者保护制度，拓展私募股权和创投基金退出渠道，提高直接融资、股权融资比重。</w:t>
      </w:r>
    </w:p>
    <w:p w14:paraId="05BC1B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充分激发各类经营主体活力。</w:t>
      </w:r>
      <w:r>
        <w:rPr>
          <w:rFonts w:hint="eastAsia" w:ascii="仿宋_GB2312" w:hAnsi="仿宋_GB2312" w:eastAsia="仿宋_GB2312" w:cs="仿宋_GB2312"/>
        </w:rPr>
        <w:t>坚持和落实“两个毫不动摇”。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健全长效机制。持续打造一流营商环境，更好支持企业安心经营、高质量发展。</w:t>
      </w:r>
    </w:p>
    <w:p w14:paraId="34848F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rPr>
        <w:t>（五）进一步扩大高水平对外开放。坚持合作共赢，稳步扩大制度型开放，拓展国际循环，以开放促改革促发展。</w:t>
      </w:r>
    </w:p>
    <w:p w14:paraId="0EA774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积极扩大自主开放。</w:t>
      </w:r>
      <w:r>
        <w:rPr>
          <w:rFonts w:hint="eastAsia" w:ascii="仿宋_GB2312" w:hAnsi="仿宋_GB2312" w:eastAsia="仿宋_GB2312" w:cs="仿宋_GB2312"/>
        </w:rPr>
        <w:t>以服务业为重点扩大市场准入和开放领域，进一步扩大增值电信、生物技术、外商独资医院等领域开放试点，有序扩大数字领域开放，压减跨境服务贸易负面清单。建好国家服务业扩大开放综合示范区。推动商签更多区域和双边贸易投资协定，积极推动加入《数字经济伙伴关系协定》和《全面与进步跨太平洋伙伴关系协定》进程。全面深入参与世贸组织改革，维护和发展开放型世界经济。优化自由贸易试验区布局范围、提升创新引领发展能级，扎实推进海南自由贸易港建设。</w:t>
      </w:r>
    </w:p>
    <w:p w14:paraId="24E948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推动外贸稳规模优结构。</w:t>
      </w:r>
      <w:r>
        <w:rPr>
          <w:rFonts w:hint="eastAsia" w:ascii="仿宋_GB2312" w:hAnsi="仿宋_GB2312" w:eastAsia="仿宋_GB2312" w:cs="仿宋_GB2312"/>
        </w:rPr>
        <w:t>加大信贷、信保支持，扩大人民币跨境使用。引导企业优化全球市场布局，推进贸易投资一体化、内外贸一体化发展。培育壮大贸易发展新动能，推动跨境电商加海外仓模式扩容升级、规范有序发展，加强国际寄递物流体系建设，拓展中间品贸易，发展数字贸易、绿色贸易，提升边境贸易。鼓励支持服务出口。积极扩大进口，推进贸易平衡发展。提高跨境贸易便利化水平。</w:t>
      </w:r>
    </w:p>
    <w:p w14:paraId="0475BB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扩大双向投资合作。</w:t>
      </w:r>
      <w:r>
        <w:rPr>
          <w:rFonts w:hint="eastAsia" w:ascii="仿宋_GB2312" w:hAnsi="仿宋_GB2312" w:eastAsia="仿宋_GB2312" w:cs="仿宋_GB2312"/>
        </w:rPr>
        <w:t>深化外商投资促进体制机制改革，保障外资企业国民待遇，实施新版鼓励外商投资产业目录，促进外资境内再投资、扩大本地化生产。加强对外资企业的服务保障，擦亮“投资中国”名片。规范提升各类开发区、园区。引导产业链供应链合理有序跨境布局，完善海外综合服务体系，加强对外投资风险防控和海外利益保护。</w:t>
      </w:r>
    </w:p>
    <w:p w14:paraId="458371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高质量共建“一带一路”。</w:t>
      </w:r>
      <w:r>
        <w:rPr>
          <w:rFonts w:hint="eastAsia" w:ascii="仿宋_GB2312" w:hAnsi="仿宋_GB2312" w:eastAsia="仿宋_GB2312" w:cs="仿宋_GB2312"/>
        </w:rPr>
        <w:t>加强与共建国家战略对接，做实做细“硬联通”、“软联通”、“心联通”。统筹推进重大标志性工程和“小而美”民生项目建设。提升中欧中亚班列发展水平，加快西部陆海新通道建设。深入推进“智慧海关”合作伙伴计划。拓展新兴领域务实合作，让合作成果更多惠及各国人民。</w:t>
      </w:r>
    </w:p>
    <w:p w14:paraId="5C119E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rPr>
        <w:t>（六）扎实推进乡村全面振兴。坚持把“三农”工作作为重中之重，深入学习运用“千万工程”经验，提高强农惠农富农政策效能，进一步夯实农业农村基础、提升发展质效。</w:t>
      </w:r>
    </w:p>
    <w:p w14:paraId="72D7D0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毫不放松抓好粮食生产。</w:t>
      </w:r>
      <w:r>
        <w:rPr>
          <w:rFonts w:hint="eastAsia" w:ascii="仿宋_GB2312" w:hAnsi="仿宋_GB2312" w:eastAsia="仿宋_GB2312" w:cs="仿宋_GB2312"/>
        </w:rPr>
        <w:t>坚持产量产能、生产生态、增产增收一起抓，加力实施新一轮千亿斤粮食产能提升行动。稳定粮油生产，促进良田良种良机良法集成增效，推动大面积单产提高、品种培优、品质提升。巩固提升大豆油料产能，推动棉糖胶等稳产提质。坚持农林牧渔并举，增加多元食物供给。推进粮食节约减损。严守耕地红线，严格占补平衡管理，高质量推进高标准农田建设，加强黑土地保护和盐碱地综合利用，做好撂荒地复耕利用。制定促进农业保险发展的措施。提高农业综合防灾减灾能力。深入实施种业振兴行动，加快选育推广突破性品种，推进先进适用农机装备研发应用，打通农业科技推广“最后一公里”。统筹生产、收储等政策，促进粮食等重要农产品价格保持在合理水平，实施粮食产销区省际横向利益补偿，调动主产区和农民种粮积极性。各地区都要扛稳责任，共同端牢中国人的饭碗。</w:t>
      </w:r>
    </w:p>
    <w:p w14:paraId="3A6B33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实施常态化精准帮扶。</w:t>
      </w:r>
      <w:r>
        <w:rPr>
          <w:rFonts w:hint="eastAsia" w:ascii="仿宋_GB2312" w:hAnsi="仿宋_GB2312" w:eastAsia="仿宋_GB2312" w:cs="仿宋_GB2312"/>
        </w:rPr>
        <w:t>持续巩固拓展脱贫攻坚成果，把常态化帮扶纳入乡村振兴战略统筹实施，守牢不发生规模性返贫致贫底线。保持帮扶政策总体稳定。合理确定防止返贫致贫对象认定标准，做好监测识别，确保早发现、早干预、早帮扶。提高产业、就业等开发式帮扶实效，发挥社会救助兜底保障作用。继续做好易地搬迁后续扶持。完善东西部协作、定点帮扶、驻村帮扶和消费帮扶等。分层分类帮扶欠发达地区，支持乡村振兴重点帮扶县加快发展，增强内生动力。</w:t>
      </w:r>
    </w:p>
    <w:p w14:paraId="3DBA45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持续推进农村改革发展。</w:t>
      </w:r>
      <w:r>
        <w:rPr>
          <w:rFonts w:hint="eastAsia" w:ascii="仿宋_GB2312" w:hAnsi="仿宋_GB2312" w:eastAsia="仿宋_GB2312" w:cs="仿宋_GB2312"/>
        </w:rPr>
        <w:t>全面开展第二轮土地承包到期后再延长30年整省试点，发展农业适度规模经营，发展新型农业经营主体，健全现代农业经营体系和社会化服务体系。支持发展新型农村集体经济。深化集体产权、集体林权、农垦、供销社等改革。开展第四次全国农业普查。推动城乡要素双向流动，深化农文旅等融合发展，培育壮大乡村特色产业，提高农产品精深加工水平，发展林下经济，完善联农带农机制，促进农民稳定增收。发展壮大乡村人才队伍。深化农村移风易俗，提升乡村治理和文明乡风建设水平。持续整治提升农村人居环境，以钉钉子精神解决好农村改厕、垃圾围村等问题。扎实推进全域土地综合整治。完善乡村建设实施机制，加快补齐农村现代生活条件短板，推进宜居宜业和美乡村建设。</w:t>
      </w:r>
    </w:p>
    <w:p w14:paraId="6EB39D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rPr>
        <w:t>（七）推动新型城镇化和区域协调发展。深入实施区域协调发展战略、区域重大战略、主体功能区战略和新型城镇化战略，构建优势互补、高质量发展的区域经济布局和国土空间体系。</w:t>
      </w:r>
    </w:p>
    <w:p w14:paraId="32A2BC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深入推进以人为本的新型城镇化。</w:t>
      </w:r>
      <w:r>
        <w:rPr>
          <w:rFonts w:hint="eastAsia" w:ascii="仿宋_GB2312" w:hAnsi="仿宋_GB2312" w:eastAsia="仿宋_GB2312" w:cs="仿宋_GB2312"/>
        </w:rPr>
        <w:t>科学有序推进农业转移人口市民化，因地制宜放宽在流入地参加中考报名条件，进一步完善“人地钱”挂钩政策。优化县域基础设施布局和公共资源配置，发展县域特色产业，推动县域经济高质量发展。坚持城市内涵式发展，优化现代化城市体系。高质量推进城市更新，稳步实施城镇老旧小区、城中村等改造。盘活利用存量土地和闲置房屋设施。加强城市基础设施生命线安全工程建设，提升高层建筑火灾防范和救援能力。加强适老化和无障碍改造。建设创新型产业社区、商务社区，推动城市治理智慧化精细化，建设现代化人民城市。</w:t>
      </w:r>
    </w:p>
    <w:p w14:paraId="67DC0D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不断增强区域发展协调性。</w:t>
      </w:r>
      <w:r>
        <w:rPr>
          <w:rFonts w:hint="eastAsia" w:ascii="仿宋_GB2312" w:hAnsi="仿宋_GB2312" w:eastAsia="仿宋_GB2312" w:cs="仿宋_GB2312"/>
        </w:rPr>
        <w:t>优化主体功能区划，引导各地区围绕主体功能定位，更好发挥比较优势。扎实推动西部大开发形成新格局、东北全面振兴取得新突破、中部地区加快崛起、东部地区加快推进现代化。加强改革攻坚、政策赋能和要素保障，支持经济大省挑大梁。支持京津冀、长三角、粤港澳大湾区打造世界级城市群。高标准高质量推进雄安新区建设。持续推进长江经济带发展、黄河流域生态保护和高质量发展。提升成渝地区双城经济圈发展能级。推动长江中游城市群等加快发展。加强重点城市群协调联动，健全规划统筹、产业协作、利益共享等机制，实施国家产业转移发展提升工程，深化跨行政区合作。加大差异化政策支持力度，深入推进兴边富民行动，促进革命老区、民族地区、边疆地区、资源枯竭城市等振兴发展。加强主要海湾整体规划，做强做优做大海洋产业。</w:t>
      </w:r>
    </w:p>
    <w:p w14:paraId="79C385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rPr>
      </w:pPr>
      <w:r>
        <w:rPr>
          <w:rFonts w:hint="default" w:ascii="楷体_GB2312" w:hAnsi="楷体_GB2312" w:eastAsia="楷体_GB2312" w:cs="楷体_GB2312"/>
        </w:rPr>
        <w:t>（八）更大力度保障和改善民生。坚持民生为大，加强普惠性、基础性、兜底性民生建设，努力为人民群众多办实事。</w:t>
      </w:r>
    </w:p>
    <w:p w14:paraId="6AD6DE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促进高质量充分就业。</w:t>
      </w:r>
      <w:r>
        <w:rPr>
          <w:rFonts w:hint="eastAsia" w:ascii="仿宋_GB2312" w:hAnsi="仿宋_GB2312" w:eastAsia="仿宋_GB2312" w:cs="仿宋_GB2312"/>
        </w:rPr>
        <w:t>加大各类政策对就业的支持力度，构建就业友好型发展方式。延续实施稳岗返还、社保补贴、专项贷款等阶段性措施，进一步增加以工代赈投资规模。实施稳岗扩容提质行动，支持劳动密集型行业企业稳定岗位，围绕发展新兴产业、未来产业培育新职业新岗位，增强服务业带动就业能力。制定高校毕业生等青年就业支持政策，强化农民工稳岗帮扶，做好退役军人安置和就业服务，加强困难人员就业援助，出台支持灵活就业人员、新就业形态人员参加职工保险的政策。发挥创业担保贷款贴息等政策作用，加强创业支持引导。完善适应人工智能技术发展促进就业创业的措施。全面落实农民工工资支付保障制度，加强就业歧视治理，坚决维护劳动者合法权益。持续开展大规模职业技能提升培训，让更多劳动者拥有一技之长，更好就业增收。</w:t>
      </w:r>
    </w:p>
    <w:p w14:paraId="1CBB25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推动教育公平与质量提升。</w:t>
      </w:r>
      <w:r>
        <w:rPr>
          <w:rFonts w:hint="eastAsia" w:ascii="仿宋_GB2312" w:hAnsi="仿宋_GB2312" w:eastAsia="仿宋_GB2312" w:cs="仿宋_GB2312"/>
        </w:rPr>
        <w:t>实施新时代立德树人工程，促进思政课堂和社会课堂有效融合。适应学龄人口结构变化，推进教育资源布局结构调整。推动基础教育扩优提质，统筹义务教育优质均衡发展、学前教育优质普惠发展，完善免费学前教育政策，增加普通高中学位供给。持续扩大优质本科教育招生规模。提升职业学校办学能力，建设特色鲜明高职院校。办好特殊教育、专门教育，提升终身学习公共服务水平，引导规范民办教育发展。弘扬教育家精神，建设高素质专业化教师队伍，加强师德师风建设，强化教师待遇保障。全面推进健康学校建设，加强体育、美育、劳动教育和心理健康教育，健全学校家庭社会协同育人机制，促进学生身心健康、全面发展。</w:t>
      </w:r>
    </w:p>
    <w:p w14:paraId="5D69EE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强化基本医疗卫生服务。</w:t>
      </w:r>
      <w:r>
        <w:rPr>
          <w:rFonts w:hint="eastAsia" w:ascii="仿宋_GB2312" w:hAnsi="仿宋_GB2312" w:eastAsia="仿宋_GB2312" w:cs="仿宋_GB2312"/>
        </w:rPr>
        <w:t>实施健康优先发展战略，健全健康促进政策制度体系，普及健康知识，提升爱国卫生运动成效，强化公共卫生能力。健全医疗、医保、医药协同发展和治理机制，深化以公益性为导向的公立医院改革，加强县区、基层医疗机构运行保障。强化薄弱专科建设，加强慢性病、罕见病综合防治，全方位提升急诊急救、血液保障和应急能力。优化医疗机构功能定位和布局，加强基层用药衔接，做实家庭医生签约服务，促进分级诊疗。推进中医药传承创新，促进中西医结合。居民医保人均财政补助标准提高24元。健全多层次医疗保障体系，稳步推动基本医疗保险省级统筹，优化医药集中采购和价格治理，深化医保支付方式改革，完善结余资金使用政策。坚决打击欺诈骗保。加快发展商业健康保险，推动创新药和医疗器械高质量发展，更好满足人民群众多元化就医用药需求。</w:t>
      </w:r>
    </w:p>
    <w:p w14:paraId="092A9A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加强社会保障和服务。</w:t>
      </w:r>
      <w:r>
        <w:rPr>
          <w:rFonts w:hint="eastAsia" w:ascii="仿宋_GB2312" w:hAnsi="仿宋_GB2312" w:eastAsia="仿宋_GB2312" w:cs="仿宋_GB2312"/>
        </w:rPr>
        <w:t>城乡居民基础养老金月最低标准再提高20元。完善并落实基本养老保险全国统筹制度，扩大失业、工伤保险覆盖面，稳妥有序推进职业伤害保障试点扩围，健全社保关系转移接续政策。深入实施积极应对人口老龄化国家战略，扩大普惠养老服务供给，健全城市社区养老服务网络，积极发展农村养老服务，实施中度以上失能老年人养老服务消费补贴项目。发展医养结合服务。积极开发老年人力资源，制定推进银发经济高质量发展的措施，完善老年用品产品、养老金融、旅居养老等支持政策。实施康复护理扩容提升工程。推行长期护理保险制度。做好独居老人、失能失智等困难群体的关爱帮扶。倡导积极婚育观，建设生育友好型社会。加强初婚初育家庭住房保障，支持多子女家庭改善性住房需求。完善生育保险制度和生育休假制度。深入开展托育服务补助示范试点，发展普惠托育和托幼一体化服务。加强残疾预防、康复和托养照护服务，推进养老助残资源统筹利用。做好困境儿童关爱服务，保障妇女儿童合法权益。加强军人军属、退役军人和其他优抚对象服务保障。建立健全基本殡葬服务制度。分层分类做好社会救助工作，兜住兜牢民生底线。</w:t>
      </w:r>
    </w:p>
    <w:p w14:paraId="4BF8E0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更好满足人民群众精神文化需求。</w:t>
      </w:r>
      <w:r>
        <w:rPr>
          <w:rFonts w:hint="eastAsia" w:ascii="仿宋_GB2312" w:hAnsi="仿宋_GB2312" w:eastAsia="仿宋_GB2312" w:cs="仿宋_GB2312"/>
        </w:rPr>
        <w:t>以社会主义核心价值观引领文化建设。发展哲学社会科学事业，推动新闻传播、电影电视、文学艺术等领域精品创作，支持出版业繁荣发展。加强网络内容建设和管理，深化网络综合治理，推进未成年人、老年人网络保护。实施公共文化服务提质增效行动，做好公共图书馆、博物馆、文化馆、科技馆等惠民开放，完善全民阅读推广服务体系，支持实体书店发展，广泛开展群众性文化活动，繁荣互联网条件下新大众文艺。发展档案事业。深入实施中华优秀传统文化传承发展工程，完成第四次全国文物普查，加强文化遗产系统性保护、监管和合理利用。高质量发展文化旅游业，丰富文旅体商等融合业态。鼓励更多文化企业和优秀文化产品走向世界，增强主流媒体国际传播能力。做好2026年亚运会、亚残运会备战参赛工作。加快重塑足球青训体系。积极发展赛事经济、冰雪经济、户外运动，建好用好群众身边的运动场地设施，培育更多特色群众体育赛事活动。</w:t>
      </w:r>
    </w:p>
    <w:p w14:paraId="5F6210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rPr>
      </w:pPr>
      <w:r>
        <w:rPr>
          <w:rFonts w:hint="default" w:ascii="楷体_GB2312" w:hAnsi="楷体_GB2312" w:eastAsia="楷体_GB2312" w:cs="楷体_GB2312"/>
        </w:rPr>
        <w:t>（九）加快推动全面绿色转型。以碳达峰碳中和为牵引，协同推进降碳、减污、扩绿、增长，增强绿色发展动能。</w:t>
      </w:r>
    </w:p>
    <w:p w14:paraId="6E9FDB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加强生态环境综合治理。</w:t>
      </w:r>
      <w:r>
        <w:rPr>
          <w:rFonts w:hint="eastAsia" w:ascii="仿宋_GB2312" w:hAnsi="仿宋_GB2312" w:eastAsia="仿宋_GB2312" w:cs="仿宋_GB2312"/>
        </w:rPr>
        <w:t>深入打好蓝天、碧水、净土保卫战，制定实施空气质量持续改善行动计划，推进县城和农村黑臭水体、面源污染治理，加强重点行业污染地块风险管控。强化新污染物治理，实施固体废物综合治理行动。完善多元化生态补偿机制，拓展生态产品价值实现渠道。加强生物多样性保护，实施好长江十年禁渔。坚持山水林田湖草沙一体化保护和系统治理，实施自然保护地整合优化，推进国家公园建设，扎实推进“三北”工程攻坚战，让人民群众身边的山更绿、水更清。</w:t>
      </w:r>
    </w:p>
    <w:p w14:paraId="4BF419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大力发展绿色低碳经济。</w:t>
      </w:r>
      <w:r>
        <w:rPr>
          <w:rFonts w:hint="eastAsia" w:ascii="仿宋_GB2312" w:hAnsi="仿宋_GB2312" w:eastAsia="仿宋_GB2312" w:cs="仿宋_GB2312"/>
        </w:rPr>
        <w:t>完善促进绿色低碳发展政策，实施重点行业提质降本降碳行动，深入推进零碳园区和工厂建设。设立国家低碳转型基金，培育氢能、绿色燃料等新增长点。有力有效管控高耗能高排放项目，加快淘汰落后产能，支持绿色低碳技术装备创新应用。完善资源总量管理和全面节约制度，强化再生资源循环利用。</w:t>
      </w:r>
    </w:p>
    <w:p w14:paraId="4D0F5E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积极稳妥推进碳达峰碳中和。</w:t>
      </w:r>
      <w:r>
        <w:rPr>
          <w:rFonts w:hint="eastAsia" w:ascii="仿宋_GB2312" w:hAnsi="仿宋_GB2312" w:eastAsia="仿宋_GB2312" w:cs="仿宋_GB2312"/>
        </w:rPr>
        <w:t>实施碳排放总量和强度双控制度，完善碳排放统计核算、碳足迹管理体系，进一步扩大碳排放权交易市场覆盖范围。制定能源强国建设规划纲要。着力构建新型电力系统，加快智能电网建设，发展新型储能，扩大绿电应用。加强化石能源清洁高效利用。</w:t>
      </w:r>
    </w:p>
    <w:p w14:paraId="6A809F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rPr>
      </w:pPr>
      <w:r>
        <w:rPr>
          <w:rFonts w:hint="default" w:ascii="楷体_GB2312" w:hAnsi="楷体_GB2312" w:eastAsia="楷体_GB2312" w:cs="楷体_GB2312"/>
        </w:rPr>
        <w:t>（十）加强重点领域风险防范化解和安全能力建设。统筹防风险和促发展，进一步增强发展韧性，坚决守牢安全底线，促进社会和谐稳定。</w:t>
      </w:r>
    </w:p>
    <w:p w14:paraId="5BB1DB1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着力稳定房地产市场。</w:t>
      </w:r>
      <w:r>
        <w:rPr>
          <w:rFonts w:hint="eastAsia" w:ascii="仿宋_GB2312" w:hAnsi="仿宋_GB2312" w:eastAsia="仿宋_GB2312" w:cs="仿宋_GB2312"/>
        </w:rPr>
        <w:t>因城施策控增量、去库存、优供给，探索多渠道盘活存量商品房，鼓励收购存量商品房重点用于保障性住房等。深化住房公积金制度改革。优化保障性住房供给，加快危旧房改造。有序推动安全舒适绿色智慧的“好房子”建设，实施房屋品质提升工程和物业服务质量提升行动。进一步发挥“保交房”的白名单制度作用，防范债务违约风险。深入推进房地产发展新模式的基础制度和配套政策建设。</w:t>
      </w:r>
    </w:p>
    <w:p w14:paraId="46293A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积极有序化解地方政府债务风险。</w:t>
      </w:r>
      <w:r>
        <w:rPr>
          <w:rFonts w:hint="eastAsia" w:ascii="仿宋_GB2312" w:hAnsi="仿宋_GB2312" w:eastAsia="仿宋_GB2312" w:cs="仿宋_GB2312"/>
        </w:rPr>
        <w:t>支持各地用足用好政策，加快化解隐性债务风险，严防虚假化债，坚决把遏制违规新增隐性债务作为铁的纪律。加大金融、财政支持力度，优化债务重组和置换办法，多措并举化解地方政府融资平台经营性债务风险，分类有序推动改革转型。优化债务监测考核指标，构建统一的政府债务管理长效机制。</w:t>
      </w:r>
    </w:p>
    <w:p w14:paraId="400AE5F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积极稳妥化解金融领域风险。</w:t>
      </w:r>
      <w:r>
        <w:rPr>
          <w:rFonts w:hint="eastAsia" w:ascii="仿宋_GB2312" w:hAnsi="仿宋_GB2312" w:eastAsia="仿宋_GB2312" w:cs="仿宋_GB2312"/>
        </w:rPr>
        <w:t>充实地方中小金融机构风险处置资源和手段。坚持市场化法治化原则，有序推进高风险机构处置。多渠道加大资本补充力度，稳妥处置金融机构不良资产。加强金融监管协同，防范打击非法金融活动。强化金融风险监测预警和早期纠正，提高风险源头防控能力。</w:t>
      </w:r>
    </w:p>
    <w:p w14:paraId="7A0E3FD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维护国家安全和社会稳定。</w:t>
      </w:r>
      <w:r>
        <w:rPr>
          <w:rFonts w:hint="eastAsia" w:ascii="仿宋_GB2312" w:hAnsi="仿宋_GB2312" w:eastAsia="仿宋_GB2312" w:cs="仿宋_GB2312"/>
        </w:rPr>
        <w:t>全面贯彻总体国家安全观，健全国家安全体系，加强重点领域国家安全能力建设。强化公共安全治理，提升重要基础设施本质安全水平，持续夯实安全生产、防灾减灾基层基础，全面完成安全生产治本攻坚三年行动。加强气象、水文、地质灾害、森林草原火灾、地震监测预报预警。加快补齐北方地区防洪排涝抗灾基础设施、应急处置等短板。加快建设现代化水网。健全巨灾保险保障体系。严格食品、药品、重点工业产品、特种设备等安全监管。完善社会治理体系，加强社会工作者队伍建设，引导支持社会组织、人道救助、志愿服务、公益慈善等健康发展，推动行业协会商会改革发展。坚持和发展新时代“枫桥经验”，推进综治中心规范化建设，完善社区治理，推进矛盾纠纷预防和多元化解。加强社会心理疏导。深入推进信访工作法治化，集中化解信访问题。深化社会治安整体防控体系和能力建设，健全扫黑除恶常态化机制，加大预防和打击电信网络诈骗、毒品犯罪等力度，建设更高水平的平安中国。</w:t>
      </w:r>
    </w:p>
    <w:p w14:paraId="2A49846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b/>
          <w:bCs/>
        </w:rPr>
        <w:t>新的形势和任务，对政府工作提出了更高要求。</w:t>
      </w:r>
      <w:r>
        <w:rPr>
          <w:rFonts w:hint="eastAsia" w:ascii="仿宋_GB2312" w:hAnsi="仿宋_GB2312" w:eastAsia="仿宋_GB2312" w:cs="仿宋_GB2312"/>
        </w:rPr>
        <w:t>各级政府及其工作人员要深刻领悟“两个确立”的决定性意义，增强“四个意识”、坚定“四个自信”、做到“两个维护”，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深入开展树立和践行正确政绩观学习教育，坚持为人民出政绩、以实干出政绩，自觉按规律办事。</w:t>
      </w:r>
    </w:p>
    <w:p w14:paraId="04EEE1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rPr>
        <w:t>我们要强化法治政府建设，深入推进依法行政，严格依照宪法法律履职尽责。自觉接受同级人大及其常委会的监督，自觉接受人民政协的民主监督，自觉接受社会和舆论监督。提高审计监督质效，加强财会监督和统计监督。坚持科学、民主、依法决策。扎实做好政务公开工作，加强政策宣传解读。健全行政复议体制机制。支持工会、共青团、妇联等群团组织更好发挥作用。深化事业单位改革。健全规范涉企行政执法长效机制。以“高效办成一件事”为牵引，持续优化政务服务，加快数字政府建设。着力提升行政效能，沉下心来抓落实，认认真真解决问题，提高对党中央决策部署一贯到底的执行力穿透力。各级政府要树牢大局观，准确把握在全国发展大局中的定位，善于把国家战略、市场需求和地区优势结合起来，因地制宜探索高质量发展新模式。完善差异化考核评价体系，持续深化整治形式主义为基层减负，让广大干部心无旁骛抓落实、办实事。营造良好政治环境、人才环境、营商环境、舆论环境，在全社会凝聚推动高质量发展的强大合力。</w:t>
      </w:r>
    </w:p>
    <w:p w14:paraId="7C0DBC3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rPr>
        <w:t>我们要以铸牢中华民族共同体意识为主线，积极促进各民族广泛交往交流交融，加快民族地区现代化建设步伐，推进中华民族共同体建设。坚持党的宗教工作基本方针，坚持我国宗教中国化方向，加强宗教事务治理法治化。全面贯彻党的侨务政策，维护海外侨胞和归侨侨眷合法权益，更好凝聚侨心侨力。</w:t>
      </w:r>
    </w:p>
    <w:p w14:paraId="66CBFB6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rPr>
        <w:t>过去一年，国防和军队现代化建设取得新的成就。新的一年，我们要深入贯彻习近平强军思想，贯彻新时代军事战略方针，坚持党对人民军队的绝对领导，全面深入贯彻军委主席负责制，以政治建军为引领，持续深化政治整训，接续打好实现建军一百年奋斗目标攻坚战。扎实推进练兵备战，加快先进战斗力建设，提高捍卫国家主权、安全、发展利益的战略能力。抓好军队建设“十五五”规划编制，实施国防发展重大工程，实施军事理论现代化推进工程。协力推进跨军地改革，优化国防科技工业体系和布局，巩固提高一体化国家战略体系和能力。加快国防动员能力建设，深化全民国防教育。各级政府要大力支持国防和军队建设，深入开展“双拥”工作，巩固军政军民团结。</w:t>
      </w:r>
    </w:p>
    <w:p w14:paraId="6AD8CAF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rPr>
        <w:t>我们要坚定不移贯彻“一国两制”、“港人治港”、“澳人治澳”、高度自治方针，落实“爱国者治港”、“爱国者治澳”原则，提升港澳依法治理效能，促进港澳经济社会发展。支持港澳更好融入和服务国家发展大局，发挥港澳背靠祖国、联通世界独特优势和重要作用，促进香港、澳门长期繁荣稳定。</w:t>
      </w:r>
    </w:p>
    <w:p w14:paraId="66D1123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rPr>
        <w:t>我们要深入贯彻新时代党解决台湾问题的总体方略，坚持一个中国原则和“九二共识”，坚决打击“台独”分裂势力，反对外部势力干涉，推动两岸关系和平发展、推进祖国统一大业。深化两岸交流合作和融合发展，共同传承弘扬中华文化，落实台湾同胞享受同等待遇政策，增进两岸同胞福祉，共同开创民族复兴伟业。</w:t>
      </w:r>
    </w:p>
    <w:p w14:paraId="7EC4B02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rPr>
        <w:t>我们要坚持独立自主的和平外交政策，坚持走和平发展道路，拓展全球伙伴关系网络，坚决反对霸权主义和强权政治，维护国际公平正义。中国愿同国际社会一道，倡导平等有序的世界多极化、普惠包容的经济全球化，推动落实全球发展倡议、全球安全倡议、全球文明倡议、全球治理倡议，积极参与全球治理体系改革和建设，推动国际秩序朝着更加公正合理的方向发展，携手构建人类命运共同体，共创世界和平发展美好未来。</w:t>
      </w:r>
    </w:p>
    <w:p w14:paraId="1CFA0F7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rPr>
        <w:t>各位代表！蓝图已经绘就，奋进正当其时。我们要更加紧密地团结在以习近平同志为核心的党中央周围，高举中国特色社会主义伟大旗帜，以习近平新时代中国特色社会主义思想为指导，万众一心、砥砺前行，奋力实现全年经济社会发展目标任务，确保“十五五”良好开局，为以中国式现代化全面推进强国建设、民族复兴伟业不懈奋斗！</w:t>
      </w:r>
    </w:p>
    <w:p w14:paraId="796554E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lang w:val="en-US" w:eastAsia="zh-CN"/>
        </w:rPr>
      </w:pPr>
    </w:p>
    <w:p w14:paraId="05C484D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来源：《人民日报》（2026年03月14日第01版）</w:t>
      </w:r>
    </w:p>
    <w:p w14:paraId="30BFAB8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br w:type="page"/>
      </w:r>
    </w:p>
    <w:p w14:paraId="401995AC">
      <w:pPr>
        <w:keepNext w:val="0"/>
        <w:keepLines w:val="0"/>
        <w:pageBreakBefore w:val="0"/>
        <w:widowControl w:val="0"/>
        <w:kinsoku/>
        <w:wordWrap/>
        <w:overflowPunct/>
        <w:topLinePunct w:val="0"/>
        <w:autoSpaceDE/>
        <w:autoSpaceDN/>
        <w:bidi w:val="0"/>
        <w:adjustRightInd/>
        <w:snapToGrid/>
        <w:ind w:left="0" w:leftChars="0"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2.中华人民共和国国民经济和社会发展第十五个五年规划纲要</w:t>
      </w:r>
    </w:p>
    <w:p w14:paraId="1CA17E18">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57669912">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中华人民共和国国民经济和社会发展</w:t>
      </w:r>
    </w:p>
    <w:p w14:paraId="74DBDA61">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第十五个五年规划纲要</w:t>
      </w:r>
    </w:p>
    <w:p w14:paraId="2B2ADB6E">
      <w:pPr>
        <w:rPr>
          <w:rFonts w:hint="default" w:ascii="Times New Roman" w:hAnsi="Times New Roman" w:eastAsia="仿宋_GB2312" w:cs="Times New Roman"/>
          <w:sz w:val="32"/>
          <w:lang w:val="en-US" w:eastAsia="zh-CN"/>
        </w:rPr>
      </w:pPr>
    </w:p>
    <w:p w14:paraId="73980457">
      <w:pPr>
        <w:ind w:left="0" w:leftChars="0" w:firstLine="0" w:firstLineChars="0"/>
        <w:jc w:val="center"/>
        <w:rPr>
          <w:rFonts w:hint="default" w:ascii="Times New Roman" w:hAnsi="Times New Roman" w:eastAsia="仿宋_GB2312" w:cs="Times New Roman"/>
          <w:sz w:val="32"/>
          <w:lang w:val="en-US" w:eastAsia="zh-CN"/>
        </w:rPr>
      </w:pPr>
      <w:r>
        <w:rPr>
          <w:rFonts w:hint="eastAsia" w:ascii="黑体" w:hAnsi="黑体" w:eastAsia="黑体" w:cs="黑体"/>
          <w:lang w:val="en-US" w:eastAsia="zh-CN"/>
        </w:rPr>
        <w:t>目 录</w:t>
      </w:r>
    </w:p>
    <w:p w14:paraId="4805170C">
      <w:pP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第一篇 奋力开创中国式现代化建设新局面</w:t>
      </w:r>
    </w:p>
    <w:p w14:paraId="1B89932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第一章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发展环境</w:t>
      </w:r>
    </w:p>
    <w:p w14:paraId="6467EEB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指导方针</w:t>
      </w:r>
    </w:p>
    <w:p w14:paraId="238B6DB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主要目标</w:t>
      </w:r>
    </w:p>
    <w:p w14:paraId="11FD9105">
      <w:pPr>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第二篇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建设现代化产业体系</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巩固壮大实体经济根基</w:t>
      </w:r>
    </w:p>
    <w:p w14:paraId="02B811E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优化提升传统产业</w:t>
      </w:r>
    </w:p>
    <w:p w14:paraId="5528A50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第五章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培育壮大新兴产业和未来产业</w:t>
      </w:r>
    </w:p>
    <w:p w14:paraId="222403C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第六章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促进服务业优质高效发展</w:t>
      </w:r>
    </w:p>
    <w:p w14:paraId="101F0B5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第七章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构建现代化基础设施体系</w:t>
      </w:r>
    </w:p>
    <w:p w14:paraId="2323BC27">
      <w:pPr>
        <w:ind w:firstLine="640" w:firstLineChars="200"/>
        <w:outlineLvl w:val="0"/>
        <w:rPr>
          <w:rFonts w:hint="eastAsia" w:ascii="黑体" w:hAnsi="黑体" w:eastAsia="黑体" w:cs="黑体"/>
          <w:kern w:val="2"/>
          <w:sz w:val="32"/>
          <w:szCs w:val="32"/>
          <w:lang w:val="en-US" w:eastAsia="zh-CN" w:bidi="ar-SA"/>
        </w:rPr>
      </w:pPr>
      <w:bookmarkStart w:id="4" w:name="_Toc18055"/>
    </w:p>
    <w:p w14:paraId="04845A52">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第三篇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加快高水平科技自立自强</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引领发展新质生产力</w:t>
      </w:r>
      <w:bookmarkEnd w:id="4"/>
    </w:p>
    <w:p w14:paraId="73AE837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第八章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加强原始创新和关键核心技术攻关</w:t>
      </w:r>
    </w:p>
    <w:p w14:paraId="0EC351B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第九章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提高体系化创新能力</w:t>
      </w:r>
    </w:p>
    <w:p w14:paraId="68D25DD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第十章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强化企业科技创新主体地位</w:t>
      </w:r>
    </w:p>
    <w:p w14:paraId="05AE8DF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第十一章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一体推进教育科技人才发展</w:t>
      </w:r>
    </w:p>
    <w:p w14:paraId="119312B6">
      <w:pPr>
        <w:ind w:firstLine="640" w:firstLineChars="200"/>
        <w:outlineLvl w:val="0"/>
        <w:rPr>
          <w:rFonts w:hint="default" w:ascii="楷体_GB2312" w:hAnsi="楷体_GB2312" w:eastAsia="楷体_GB2312" w:cs="楷体_GB2312"/>
          <w:lang w:val="en-US" w:eastAsia="zh-CN"/>
        </w:rPr>
      </w:pPr>
      <w:bookmarkStart w:id="5" w:name="_Toc12836"/>
      <w:r>
        <w:rPr>
          <w:rFonts w:hint="default" w:ascii="楷体_GB2312" w:hAnsi="楷体_GB2312" w:eastAsia="楷体_GB2312" w:cs="楷体_GB2312"/>
          <w:lang w:val="en-US" w:eastAsia="zh-CN"/>
        </w:rPr>
        <w:t>第四篇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深入推进数字中国建设</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提升数智化发展水平</w:t>
      </w:r>
      <w:bookmarkEnd w:id="5"/>
    </w:p>
    <w:p w14:paraId="2E00CC7E">
      <w:pPr>
        <w:ind w:firstLine="640" w:firstLineChars="200"/>
        <w:outlineLvl w:val="0"/>
        <w:rPr>
          <w:rFonts w:hint="default" w:ascii="Times New Roman" w:hAnsi="Times New Roman" w:eastAsia="仿宋_GB2312" w:cs="Times New Roman"/>
          <w:sz w:val="32"/>
          <w:lang w:val="en-US" w:eastAsia="zh-CN"/>
        </w:rPr>
      </w:pPr>
      <w:bookmarkStart w:id="6" w:name="_Toc28966"/>
      <w:r>
        <w:rPr>
          <w:rFonts w:hint="default" w:ascii="Times New Roman" w:hAnsi="Times New Roman" w:eastAsia="仿宋_GB2312" w:cs="Times New Roman"/>
          <w:sz w:val="32"/>
          <w:lang w:val="en-US" w:eastAsia="zh-CN"/>
        </w:rPr>
        <w:t>第十二章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强化算力算法数据高效供给</w:t>
      </w:r>
      <w:bookmarkEnd w:id="6"/>
    </w:p>
    <w:p w14:paraId="23B10422">
      <w:pPr>
        <w:ind w:firstLine="640" w:firstLineChars="200"/>
        <w:outlineLvl w:val="0"/>
        <w:rPr>
          <w:rFonts w:hint="default" w:ascii="Times New Roman" w:hAnsi="Times New Roman" w:eastAsia="仿宋_GB2312" w:cs="Times New Roman"/>
          <w:sz w:val="32"/>
          <w:lang w:val="en-US" w:eastAsia="zh-CN"/>
        </w:rPr>
      </w:pPr>
      <w:bookmarkStart w:id="7" w:name="_Toc29184"/>
      <w:r>
        <w:rPr>
          <w:rFonts w:hint="default" w:ascii="Times New Roman" w:hAnsi="Times New Roman" w:eastAsia="仿宋_GB2312" w:cs="Times New Roman"/>
          <w:sz w:val="32"/>
          <w:lang w:val="en-US" w:eastAsia="zh-CN"/>
        </w:rPr>
        <w:t>第十三章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全方位推进数智技术赋能</w:t>
      </w:r>
      <w:bookmarkEnd w:id="7"/>
    </w:p>
    <w:p w14:paraId="35032370">
      <w:pPr>
        <w:ind w:firstLine="640" w:firstLineChars="200"/>
        <w:outlineLvl w:val="0"/>
        <w:rPr>
          <w:rFonts w:hint="default" w:ascii="Times New Roman" w:hAnsi="Times New Roman" w:eastAsia="仿宋_GB2312" w:cs="Times New Roman"/>
          <w:sz w:val="32"/>
          <w:lang w:val="en-US" w:eastAsia="zh-CN"/>
        </w:rPr>
      </w:pPr>
      <w:bookmarkStart w:id="8" w:name="_Toc11135"/>
      <w:r>
        <w:rPr>
          <w:rFonts w:hint="default" w:ascii="Times New Roman" w:hAnsi="Times New Roman" w:eastAsia="仿宋_GB2312" w:cs="Times New Roman"/>
          <w:sz w:val="32"/>
          <w:lang w:val="en-US" w:eastAsia="zh-CN"/>
        </w:rPr>
        <w:t>第十四章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营造健康有序的发展生态</w:t>
      </w:r>
      <w:bookmarkEnd w:id="8"/>
    </w:p>
    <w:p w14:paraId="506A8529">
      <w:pPr>
        <w:ind w:firstLine="640" w:firstLineChars="200"/>
        <w:outlineLvl w:val="0"/>
        <w:rPr>
          <w:rFonts w:hint="default" w:ascii="楷体_GB2312" w:hAnsi="楷体_GB2312" w:eastAsia="楷体_GB2312" w:cs="楷体_GB2312"/>
          <w:lang w:val="en-US" w:eastAsia="zh-CN"/>
        </w:rPr>
      </w:pPr>
      <w:bookmarkStart w:id="9" w:name="_Toc10704"/>
      <w:r>
        <w:rPr>
          <w:rFonts w:hint="default" w:ascii="楷体_GB2312" w:hAnsi="楷体_GB2312" w:eastAsia="楷体_GB2312" w:cs="楷体_GB2312"/>
          <w:lang w:val="en-US" w:eastAsia="zh-CN"/>
        </w:rPr>
        <w:t>第五篇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建设强大国内市场</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加快构建新发展格局</w:t>
      </w:r>
      <w:bookmarkEnd w:id="9"/>
    </w:p>
    <w:p w14:paraId="4E108BCB">
      <w:pPr>
        <w:ind w:firstLine="640" w:firstLineChars="200"/>
        <w:outlineLvl w:val="0"/>
        <w:rPr>
          <w:rFonts w:hint="default" w:ascii="Times New Roman" w:hAnsi="Times New Roman" w:eastAsia="仿宋_GB2312" w:cs="Times New Roman"/>
          <w:sz w:val="32"/>
          <w:lang w:val="en-US" w:eastAsia="zh-CN"/>
        </w:rPr>
      </w:pPr>
      <w:bookmarkStart w:id="10" w:name="_Toc20896"/>
      <w:r>
        <w:rPr>
          <w:rFonts w:hint="default" w:ascii="Times New Roman" w:hAnsi="Times New Roman" w:eastAsia="仿宋_GB2312" w:cs="Times New Roman"/>
          <w:sz w:val="32"/>
          <w:lang w:val="en-US" w:eastAsia="zh-CN"/>
        </w:rPr>
        <w:t>第十五章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大力提振消费</w:t>
      </w:r>
      <w:bookmarkEnd w:id="10"/>
    </w:p>
    <w:p w14:paraId="359F245E">
      <w:pPr>
        <w:ind w:firstLine="640" w:firstLineChars="200"/>
        <w:outlineLvl w:val="0"/>
        <w:rPr>
          <w:rFonts w:hint="default" w:ascii="Times New Roman" w:hAnsi="Times New Roman" w:eastAsia="仿宋_GB2312" w:cs="Times New Roman"/>
          <w:sz w:val="32"/>
          <w:lang w:val="en-US" w:eastAsia="zh-CN"/>
        </w:rPr>
      </w:pPr>
      <w:bookmarkStart w:id="11" w:name="_Toc18518"/>
      <w:r>
        <w:rPr>
          <w:rFonts w:hint="default" w:ascii="Times New Roman" w:hAnsi="Times New Roman" w:eastAsia="仿宋_GB2312" w:cs="Times New Roman"/>
          <w:sz w:val="32"/>
          <w:lang w:val="en-US" w:eastAsia="zh-CN"/>
        </w:rPr>
        <w:t>第十六章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扩大有效投资</w:t>
      </w:r>
      <w:bookmarkEnd w:id="11"/>
    </w:p>
    <w:p w14:paraId="50239780">
      <w:pPr>
        <w:ind w:firstLine="640" w:firstLineChars="200"/>
        <w:outlineLvl w:val="0"/>
        <w:rPr>
          <w:rFonts w:hint="default" w:ascii="Times New Roman" w:hAnsi="Times New Roman" w:eastAsia="仿宋_GB2312" w:cs="Times New Roman"/>
          <w:sz w:val="32"/>
          <w:lang w:val="en-US" w:eastAsia="zh-CN"/>
        </w:rPr>
      </w:pPr>
      <w:bookmarkStart w:id="12" w:name="_Toc22127"/>
      <w:r>
        <w:rPr>
          <w:rFonts w:hint="default" w:ascii="Times New Roman" w:hAnsi="Times New Roman" w:eastAsia="仿宋_GB2312" w:cs="Times New Roman"/>
          <w:sz w:val="32"/>
          <w:lang w:val="en-US" w:eastAsia="zh-CN"/>
        </w:rPr>
        <w:t>第十七章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纵深推进全国统一大市场建设</w:t>
      </w:r>
      <w:bookmarkEnd w:id="12"/>
    </w:p>
    <w:p w14:paraId="78BAE0AD">
      <w:pPr>
        <w:ind w:firstLine="640" w:firstLineChars="200"/>
        <w:outlineLvl w:val="0"/>
        <w:rPr>
          <w:rFonts w:hint="default" w:ascii="楷体_GB2312" w:hAnsi="楷体_GB2312" w:eastAsia="楷体_GB2312" w:cs="楷体_GB2312"/>
          <w:lang w:val="en-US" w:eastAsia="zh-CN"/>
        </w:rPr>
      </w:pPr>
      <w:bookmarkStart w:id="13" w:name="_Toc24422"/>
      <w:r>
        <w:rPr>
          <w:rFonts w:hint="default" w:ascii="楷体_GB2312" w:hAnsi="楷体_GB2312" w:eastAsia="楷体_GB2312" w:cs="楷体_GB2312"/>
          <w:lang w:val="en-US" w:eastAsia="zh-CN"/>
        </w:rPr>
        <w:t>第六篇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加快构建高水平社会主义市场经济体制</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增强高质量发展动力</w:t>
      </w:r>
      <w:bookmarkEnd w:id="13"/>
    </w:p>
    <w:p w14:paraId="5C1995F0">
      <w:pPr>
        <w:ind w:firstLine="640" w:firstLineChars="200"/>
        <w:outlineLvl w:val="0"/>
        <w:rPr>
          <w:rFonts w:hint="default" w:ascii="Times New Roman" w:hAnsi="Times New Roman" w:eastAsia="仿宋_GB2312" w:cs="Times New Roman"/>
          <w:sz w:val="32"/>
          <w:lang w:val="en-US" w:eastAsia="zh-CN"/>
        </w:rPr>
      </w:pPr>
      <w:bookmarkStart w:id="14" w:name="_Toc19690"/>
      <w:r>
        <w:rPr>
          <w:rFonts w:hint="default" w:ascii="Times New Roman" w:hAnsi="Times New Roman" w:eastAsia="仿宋_GB2312" w:cs="Times New Roman"/>
          <w:sz w:val="32"/>
          <w:lang w:val="en-US" w:eastAsia="zh-CN"/>
        </w:rPr>
        <w:t>第十八章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充分激发各类经营主体活力</w:t>
      </w:r>
      <w:bookmarkEnd w:id="14"/>
    </w:p>
    <w:p w14:paraId="227B8995">
      <w:pPr>
        <w:ind w:firstLine="640" w:firstLineChars="200"/>
        <w:outlineLvl w:val="0"/>
        <w:rPr>
          <w:rFonts w:hint="default" w:ascii="Times New Roman" w:hAnsi="Times New Roman" w:eastAsia="仿宋_GB2312" w:cs="Times New Roman"/>
          <w:sz w:val="32"/>
          <w:lang w:val="en-US" w:eastAsia="zh-CN"/>
        </w:rPr>
      </w:pPr>
      <w:bookmarkStart w:id="15" w:name="_Toc17558"/>
      <w:r>
        <w:rPr>
          <w:rFonts w:hint="default" w:ascii="Times New Roman" w:hAnsi="Times New Roman" w:eastAsia="仿宋_GB2312" w:cs="Times New Roman"/>
          <w:sz w:val="32"/>
          <w:lang w:val="en-US" w:eastAsia="zh-CN"/>
        </w:rPr>
        <w:t>第十九章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加快完善要素市场化配置体制机制</w:t>
      </w:r>
      <w:bookmarkEnd w:id="15"/>
    </w:p>
    <w:p w14:paraId="407AA2B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第二十章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健全宏观经济治理体系</w:t>
      </w:r>
    </w:p>
    <w:p w14:paraId="280F8A80">
      <w:pPr>
        <w:ind w:firstLine="640" w:firstLineChars="200"/>
        <w:outlineLvl w:val="0"/>
        <w:rPr>
          <w:rFonts w:hint="default" w:ascii="楷体_GB2312" w:hAnsi="楷体_GB2312" w:eastAsia="楷体_GB2312" w:cs="楷体_GB2312"/>
          <w:lang w:val="en-US" w:eastAsia="zh-CN"/>
        </w:rPr>
      </w:pPr>
      <w:bookmarkStart w:id="16" w:name="_Toc20632"/>
      <w:r>
        <w:rPr>
          <w:rFonts w:hint="default" w:ascii="楷体_GB2312" w:hAnsi="楷体_GB2312" w:eastAsia="楷体_GB2312" w:cs="楷体_GB2312"/>
          <w:lang w:val="en-US" w:eastAsia="zh-CN"/>
        </w:rPr>
        <w:t>第七篇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扩大高水平对外开放</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开创合作共赢新局面</w:t>
      </w:r>
      <w:bookmarkEnd w:id="16"/>
    </w:p>
    <w:p w14:paraId="7057D4D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第二十一章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积极扩大自主开放</w:t>
      </w:r>
    </w:p>
    <w:p w14:paraId="5AC4895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第二十二章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提升贸易投资合作质量和水平</w:t>
      </w:r>
    </w:p>
    <w:p w14:paraId="587361D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第二十三章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高质量共建“一带一路”</w:t>
      </w:r>
    </w:p>
    <w:p w14:paraId="5FE0249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第二十四章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推动构建人类命运共同体</w:t>
      </w:r>
    </w:p>
    <w:p w14:paraId="63BFACE3">
      <w:pPr>
        <w:ind w:firstLine="640" w:firstLineChars="200"/>
        <w:outlineLvl w:val="0"/>
        <w:rPr>
          <w:rFonts w:hint="default" w:ascii="楷体_GB2312" w:hAnsi="楷体_GB2312" w:eastAsia="楷体_GB2312" w:cs="楷体_GB2312"/>
          <w:lang w:val="en-US" w:eastAsia="zh-CN"/>
        </w:rPr>
      </w:pPr>
      <w:bookmarkStart w:id="17" w:name="_Toc30837"/>
      <w:r>
        <w:rPr>
          <w:rFonts w:hint="default" w:ascii="楷体_GB2312" w:hAnsi="楷体_GB2312" w:eastAsia="楷体_GB2312" w:cs="楷体_GB2312"/>
          <w:lang w:val="en-US" w:eastAsia="zh-CN"/>
        </w:rPr>
        <w:t>第八篇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加快农业农村现代化</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扎实推进乡村全面振兴</w:t>
      </w:r>
      <w:bookmarkEnd w:id="17"/>
    </w:p>
    <w:p w14:paraId="0E00FF9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第二十五章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提升农业综合生产能力和质量效益</w:t>
      </w:r>
    </w:p>
    <w:p w14:paraId="5C36BA9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第二十六章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推进宜居宜业和美乡村建设</w:t>
      </w:r>
    </w:p>
    <w:p w14:paraId="03905DC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第二十七章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提高强农惠农富农政策效能</w:t>
      </w:r>
    </w:p>
    <w:p w14:paraId="1D2EE5B3">
      <w:pPr>
        <w:ind w:firstLine="640" w:firstLineChars="200"/>
        <w:outlineLvl w:val="0"/>
        <w:rPr>
          <w:rFonts w:hint="default" w:ascii="楷体_GB2312" w:hAnsi="楷体_GB2312" w:eastAsia="楷体_GB2312" w:cs="楷体_GB2312"/>
          <w:lang w:val="en-US" w:eastAsia="zh-CN"/>
        </w:rPr>
      </w:pPr>
      <w:bookmarkStart w:id="18" w:name="_Toc28261"/>
      <w:r>
        <w:rPr>
          <w:rFonts w:hint="default" w:ascii="楷体_GB2312" w:hAnsi="楷体_GB2312" w:eastAsia="楷体_GB2312" w:cs="楷体_GB2312"/>
          <w:lang w:val="en-US" w:eastAsia="zh-CN"/>
        </w:rPr>
        <w:t>第九篇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优化区域经济布局</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促进区域协调发展</w:t>
      </w:r>
      <w:bookmarkEnd w:id="18"/>
    </w:p>
    <w:p w14:paraId="4475562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第二十八章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增强区域发展协调性</w:t>
      </w:r>
    </w:p>
    <w:p w14:paraId="2128F1E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第二十九章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促进区域联动发展</w:t>
      </w:r>
    </w:p>
    <w:p w14:paraId="5C97757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第三十章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优化国土空间发展格局</w:t>
      </w:r>
    </w:p>
    <w:p w14:paraId="7AD037F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第三十一章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深入推进以人为本的新型城镇化</w:t>
      </w:r>
    </w:p>
    <w:p w14:paraId="590AD9F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第三十二章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加强海洋开发利用保护</w:t>
      </w:r>
    </w:p>
    <w:p w14:paraId="0DD3A9E9">
      <w:pPr>
        <w:ind w:firstLine="640" w:firstLineChars="200"/>
        <w:outlineLvl w:val="0"/>
        <w:rPr>
          <w:rFonts w:hint="default" w:ascii="楷体_GB2312" w:hAnsi="楷体_GB2312" w:eastAsia="楷体_GB2312" w:cs="楷体_GB2312"/>
          <w:lang w:val="en-US" w:eastAsia="zh-CN"/>
        </w:rPr>
      </w:pPr>
      <w:bookmarkStart w:id="19" w:name="_Toc4205"/>
      <w:r>
        <w:rPr>
          <w:rFonts w:hint="default" w:ascii="楷体_GB2312" w:hAnsi="楷体_GB2312" w:eastAsia="楷体_GB2312" w:cs="楷体_GB2312"/>
          <w:lang w:val="en-US" w:eastAsia="zh-CN"/>
        </w:rPr>
        <w:t>第十篇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激发全民族文化创新创造活力</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繁荣发展社会主义文化</w:t>
      </w:r>
      <w:bookmarkEnd w:id="19"/>
    </w:p>
    <w:p w14:paraId="2884E41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第三十三章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弘扬和践行社会主义核心价值观</w:t>
      </w:r>
    </w:p>
    <w:p w14:paraId="6B2A968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第三十四章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大力繁荣文化事业</w:t>
      </w:r>
    </w:p>
    <w:p w14:paraId="2DF68C7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第三十五章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加快发展文化产业</w:t>
      </w:r>
    </w:p>
    <w:p w14:paraId="41A7075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第三十六章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提升中华文明传播力影响力</w:t>
      </w:r>
    </w:p>
    <w:p w14:paraId="34929BE3">
      <w:pPr>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第十一篇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完善人口发展战略</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促进人口高质量发展</w:t>
      </w:r>
    </w:p>
    <w:p w14:paraId="2D37A7C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第三十七章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建设生育友好型社会</w:t>
      </w:r>
    </w:p>
    <w:p w14:paraId="5508291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第三十八章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办好人民满意的教育</w:t>
      </w:r>
    </w:p>
    <w:p w14:paraId="46C7C04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第三十九章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加快建设健康中国</w:t>
      </w:r>
    </w:p>
    <w:p w14:paraId="6BBA8BD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第四十章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积极应对人口老龄化</w:t>
      </w:r>
    </w:p>
    <w:p w14:paraId="578A751D">
      <w:pPr>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第十二篇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加大保障和改善民生力度</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扎实推进全体人民共同富裕</w:t>
      </w:r>
    </w:p>
    <w:p w14:paraId="7DA78B5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第四十一章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促进高质量充分就业</w:t>
      </w:r>
    </w:p>
    <w:p w14:paraId="2B23029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第四十二章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完善收入分配制度</w:t>
      </w:r>
    </w:p>
    <w:p w14:paraId="4523EB0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第四十三章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健全社会保障体系</w:t>
      </w:r>
    </w:p>
    <w:p w14:paraId="5776048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第四十四章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推动房地产高质量发展</w:t>
      </w:r>
    </w:p>
    <w:p w14:paraId="5E47044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第四十五章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稳步推进基本公共服务均等化</w:t>
      </w:r>
    </w:p>
    <w:p w14:paraId="4B5E669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第四十六章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保障各类群体发展权益</w:t>
      </w:r>
    </w:p>
    <w:p w14:paraId="486F06CA">
      <w:pPr>
        <w:ind w:firstLine="640" w:firstLineChars="200"/>
        <w:outlineLvl w:val="0"/>
        <w:rPr>
          <w:rFonts w:hint="default" w:ascii="楷体_GB2312" w:hAnsi="楷体_GB2312" w:eastAsia="楷体_GB2312" w:cs="楷体_GB2312"/>
          <w:lang w:val="en-US" w:eastAsia="zh-CN"/>
        </w:rPr>
      </w:pPr>
      <w:bookmarkStart w:id="20" w:name="_Toc31102"/>
      <w:r>
        <w:rPr>
          <w:rFonts w:hint="default" w:ascii="楷体_GB2312" w:hAnsi="楷体_GB2312" w:eastAsia="楷体_GB2312" w:cs="楷体_GB2312"/>
          <w:lang w:val="en-US" w:eastAsia="zh-CN"/>
        </w:rPr>
        <w:t>第十三篇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加快经济社会发展全面绿色转型</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建设美丽中国</w:t>
      </w:r>
      <w:bookmarkEnd w:id="20"/>
    </w:p>
    <w:p w14:paraId="67F4EBB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第四十七章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积极稳妥推进和实现碳达峰</w:t>
      </w:r>
    </w:p>
    <w:p w14:paraId="62A674F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第四十八章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持续改善环境质量</w:t>
      </w:r>
    </w:p>
    <w:p w14:paraId="5A8F896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第四十九章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提升生态系统多样性稳定性持续性</w:t>
      </w:r>
    </w:p>
    <w:p w14:paraId="41F0421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第五十章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加快形成绿色生产生活方式</w:t>
      </w:r>
    </w:p>
    <w:p w14:paraId="20E90DD0">
      <w:pPr>
        <w:ind w:firstLine="640" w:firstLineChars="200"/>
        <w:outlineLvl w:val="0"/>
        <w:rPr>
          <w:rFonts w:hint="default" w:ascii="楷体_GB2312" w:hAnsi="楷体_GB2312" w:eastAsia="楷体_GB2312" w:cs="楷体_GB2312"/>
          <w:lang w:val="en-US" w:eastAsia="zh-CN"/>
        </w:rPr>
      </w:pPr>
      <w:bookmarkStart w:id="21" w:name="_Toc187"/>
      <w:r>
        <w:rPr>
          <w:rFonts w:hint="default" w:ascii="楷体_GB2312" w:hAnsi="楷体_GB2312" w:eastAsia="楷体_GB2312" w:cs="楷体_GB2312"/>
          <w:lang w:val="en-US" w:eastAsia="zh-CN"/>
        </w:rPr>
        <w:t>第十四篇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推进国家安全体系和能力现代化</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建设更高水平平安中国</w:t>
      </w:r>
      <w:bookmarkEnd w:id="21"/>
    </w:p>
    <w:p w14:paraId="4E34D8F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第五十一章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加强国家安全体系和能力建设</w:t>
      </w:r>
    </w:p>
    <w:p w14:paraId="5A119C1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第五十二章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保障国家经济安全</w:t>
      </w:r>
    </w:p>
    <w:p w14:paraId="4DACC02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第五十三章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提高公共安全治理水平</w:t>
      </w:r>
    </w:p>
    <w:p w14:paraId="37A759D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第五十四章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完善社会治理体系</w:t>
      </w:r>
    </w:p>
    <w:p w14:paraId="1B46410C">
      <w:pPr>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第十五篇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如期实现建军一百年奋斗目标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高质量推进国防和军队现代化</w:t>
      </w:r>
    </w:p>
    <w:p w14:paraId="34E9370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第五十五章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着力提高国防和军队现代化质量效益</w:t>
      </w:r>
    </w:p>
    <w:p w14:paraId="565EDD0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第五十六章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巩固提高一体化国家战略体系和能力</w:t>
      </w:r>
    </w:p>
    <w:p w14:paraId="5B3D2E28">
      <w:pPr>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第十六篇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发展全过程人民民主</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完善中国特色社会主义法治体系</w:t>
      </w:r>
    </w:p>
    <w:p w14:paraId="3690F54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第五十七章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发展社会主义民主</w:t>
      </w:r>
    </w:p>
    <w:p w14:paraId="0E9C131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第五十八章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推进全面依法治国</w:t>
      </w:r>
    </w:p>
    <w:p w14:paraId="1633383C">
      <w:pPr>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第十七篇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坚持和完善“一国两制”</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推进祖国统一</w:t>
      </w:r>
    </w:p>
    <w:p w14:paraId="296C612D">
      <w:pPr>
        <w:ind w:firstLine="640" w:firstLineChars="200"/>
        <w:outlineLvl w:val="0"/>
        <w:rPr>
          <w:rFonts w:hint="default" w:ascii="Times New Roman" w:hAnsi="Times New Roman" w:eastAsia="仿宋_GB2312" w:cs="Times New Roman"/>
          <w:sz w:val="32"/>
          <w:lang w:val="en-US" w:eastAsia="zh-CN"/>
        </w:rPr>
      </w:pPr>
      <w:bookmarkStart w:id="22" w:name="_Toc21480"/>
      <w:r>
        <w:rPr>
          <w:rFonts w:hint="default" w:ascii="Times New Roman" w:hAnsi="Times New Roman" w:eastAsia="仿宋_GB2312" w:cs="Times New Roman"/>
          <w:sz w:val="32"/>
          <w:lang w:val="en-US" w:eastAsia="zh-CN"/>
        </w:rPr>
        <w:t>第五十九章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促进香港、澳门长期繁荣稳定</w:t>
      </w:r>
      <w:bookmarkEnd w:id="22"/>
    </w:p>
    <w:p w14:paraId="64AFAA18">
      <w:pPr>
        <w:ind w:firstLine="640" w:firstLineChars="200"/>
        <w:outlineLvl w:val="0"/>
        <w:rPr>
          <w:rFonts w:hint="default" w:ascii="Times New Roman" w:hAnsi="Times New Roman" w:eastAsia="仿宋_GB2312" w:cs="Times New Roman"/>
          <w:sz w:val="32"/>
          <w:lang w:val="en-US" w:eastAsia="zh-CN"/>
        </w:rPr>
      </w:pPr>
      <w:bookmarkStart w:id="23" w:name="_Toc20258"/>
      <w:r>
        <w:rPr>
          <w:rFonts w:hint="default" w:ascii="Times New Roman" w:hAnsi="Times New Roman" w:eastAsia="仿宋_GB2312" w:cs="Times New Roman"/>
          <w:sz w:val="32"/>
          <w:lang w:val="en-US" w:eastAsia="zh-CN"/>
        </w:rPr>
        <w:t>第六十章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推动两岸关系和平发展、推进祖国统一大业</w:t>
      </w:r>
      <w:bookmarkEnd w:id="23"/>
    </w:p>
    <w:p w14:paraId="112970AA">
      <w:pPr>
        <w:ind w:firstLine="640" w:firstLineChars="200"/>
        <w:outlineLvl w:val="0"/>
        <w:rPr>
          <w:rFonts w:hint="default" w:ascii="楷体_GB2312" w:hAnsi="楷体_GB2312" w:eastAsia="楷体_GB2312" w:cs="楷体_GB2312"/>
          <w:lang w:val="en-US" w:eastAsia="zh-CN"/>
        </w:rPr>
      </w:pPr>
      <w:bookmarkStart w:id="24" w:name="_Toc12515"/>
      <w:r>
        <w:rPr>
          <w:rFonts w:hint="default" w:ascii="楷体_GB2312" w:hAnsi="楷体_GB2312" w:eastAsia="楷体_GB2312" w:cs="楷体_GB2312"/>
          <w:lang w:val="en-US" w:eastAsia="zh-CN"/>
        </w:rPr>
        <w:t>第十八篇</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加强规划实施保障</w:t>
      </w:r>
      <w:bookmarkEnd w:id="24"/>
    </w:p>
    <w:p w14:paraId="41FCA856">
      <w:pPr>
        <w:ind w:firstLine="640" w:firstLineChars="200"/>
        <w:outlineLvl w:val="0"/>
        <w:rPr>
          <w:rFonts w:hint="default" w:ascii="Times New Roman" w:hAnsi="Times New Roman" w:eastAsia="仿宋_GB2312" w:cs="Times New Roman"/>
          <w:sz w:val="32"/>
          <w:lang w:val="en-US" w:eastAsia="zh-CN"/>
        </w:rPr>
      </w:pPr>
      <w:bookmarkStart w:id="25" w:name="_Toc15430"/>
      <w:r>
        <w:rPr>
          <w:rFonts w:hint="default" w:ascii="Times New Roman" w:hAnsi="Times New Roman" w:eastAsia="仿宋_GB2312" w:cs="Times New Roman"/>
          <w:sz w:val="32"/>
          <w:lang w:val="en-US" w:eastAsia="zh-CN"/>
        </w:rPr>
        <w:t>第六十一章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坚持和加强党中央集中统一领导</w:t>
      </w:r>
      <w:bookmarkEnd w:id="25"/>
    </w:p>
    <w:p w14:paraId="4EE22BAA">
      <w:pPr>
        <w:ind w:firstLine="640" w:firstLineChars="200"/>
        <w:outlineLvl w:val="0"/>
        <w:rPr>
          <w:rFonts w:hint="default" w:ascii="Times New Roman" w:hAnsi="Times New Roman" w:eastAsia="仿宋_GB2312" w:cs="Times New Roman"/>
          <w:sz w:val="32"/>
          <w:lang w:val="en-US" w:eastAsia="zh-CN"/>
        </w:rPr>
      </w:pPr>
      <w:bookmarkStart w:id="26" w:name="_Toc18266"/>
      <w:r>
        <w:rPr>
          <w:rFonts w:hint="default" w:ascii="Times New Roman" w:hAnsi="Times New Roman" w:eastAsia="仿宋_GB2312" w:cs="Times New Roman"/>
          <w:sz w:val="32"/>
          <w:lang w:val="en-US" w:eastAsia="zh-CN"/>
        </w:rPr>
        <w:t>第六十二章</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健全规划实施全周期推进机制</w:t>
      </w:r>
      <w:bookmarkEnd w:id="26"/>
    </w:p>
    <w:p w14:paraId="42882135">
      <w:pPr>
        <w:rPr>
          <w:rFonts w:hint="default" w:ascii="Times New Roman" w:hAnsi="Times New Roman" w:eastAsia="仿宋_GB2312" w:cs="Times New Roman"/>
          <w:sz w:val="32"/>
          <w:lang w:val="en-US" w:eastAsia="zh-CN"/>
        </w:rPr>
      </w:pPr>
    </w:p>
    <w:p w14:paraId="00E5E54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br w:type="page"/>
      </w:r>
    </w:p>
    <w:p w14:paraId="4D11C5C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华人民共和国国民经济和社会发展第十五个五年（2026—2030年）规划纲要，根据《中共中央关于制定国民经济和社会发展第十五个五年规划的建议》编制，主要阐明国家战略意图，明确政府工作重点，引导规范社会主体行为，是“十五五”时期我国全面建设社会主义现代化国家的宏伟蓝图，是全国各族人民共同的行动纲领。</w:t>
      </w:r>
    </w:p>
    <w:p w14:paraId="1AE68727">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eastAsia" w:ascii="方正小标宋简体" w:hAnsi="方正小标宋简体" w:eastAsia="方正小标宋简体" w:cs="方正小标宋简体"/>
          <w:sz w:val="40"/>
          <w:szCs w:val="40"/>
          <w:lang w:val="en-US" w:eastAsia="zh-CN"/>
        </w:rPr>
      </w:pPr>
      <w:bookmarkStart w:id="27" w:name="_Toc8403"/>
      <w:r>
        <w:rPr>
          <w:rFonts w:hint="eastAsia" w:ascii="方正小标宋简体" w:hAnsi="方正小标宋简体" w:eastAsia="方正小标宋简体" w:cs="方正小标宋简体"/>
          <w:sz w:val="40"/>
          <w:szCs w:val="40"/>
          <w:lang w:val="en-US" w:eastAsia="zh-CN"/>
        </w:rPr>
        <w:t>第一篇 奋力开创中国式现代化建设新局面</w:t>
      </w:r>
      <w:bookmarkEnd w:id="27"/>
    </w:p>
    <w:p w14:paraId="6A53818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十五五”时期在基本实现社会主义现代化进程中具有承前启后的重要地位，是夯实基础、全面发力的关键时期，必须不懈努力、接续奋斗，推动事关中国式现代化全局的战略任务取得重大突破，为基本实现社会主义现代化奠定更加坚实的基础。</w:t>
      </w:r>
    </w:p>
    <w:p w14:paraId="448026E5">
      <w:pPr>
        <w:ind w:left="0" w:leftChars="0" w:firstLine="0" w:firstLineChars="0"/>
        <w:jc w:val="center"/>
        <w:outlineLvl w:val="0"/>
        <w:rPr>
          <w:rFonts w:hint="eastAsia" w:ascii="Times New Roman" w:hAnsi="Times New Roman" w:eastAsia="黑体" w:cs="Times New Roman"/>
          <w:color w:val="000000"/>
          <w:sz w:val="32"/>
          <w:lang w:val="en-US" w:eastAsia="zh-CN"/>
        </w:rPr>
      </w:pPr>
      <w:bookmarkStart w:id="28" w:name="_Toc23797"/>
      <w:r>
        <w:rPr>
          <w:rFonts w:hint="eastAsia" w:ascii="Times New Roman" w:hAnsi="Times New Roman" w:eastAsia="黑体" w:cs="Times New Roman"/>
          <w:color w:val="000000"/>
          <w:sz w:val="32"/>
          <w:lang w:val="en-US" w:eastAsia="zh-CN"/>
        </w:rPr>
        <w:t>第一章</w:t>
      </w:r>
      <w:r>
        <w:rPr>
          <w:rFonts w:hint="eastAsia" w:eastAsia="黑体" w:cs="Times New Roman"/>
          <w:color w:val="000000"/>
          <w:sz w:val="32"/>
          <w:lang w:val="en-US" w:eastAsia="zh-CN"/>
        </w:rPr>
        <w:t xml:space="preserve"> </w:t>
      </w:r>
      <w:r>
        <w:rPr>
          <w:rFonts w:hint="eastAsia" w:ascii="Times New Roman" w:hAnsi="Times New Roman" w:eastAsia="黑体" w:cs="Times New Roman"/>
          <w:color w:val="000000"/>
          <w:sz w:val="32"/>
          <w:lang w:val="en-US" w:eastAsia="zh-CN"/>
        </w:rPr>
        <w:t>发展环境</w:t>
      </w:r>
      <w:bookmarkEnd w:id="28"/>
    </w:p>
    <w:p w14:paraId="2DE3281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站在新的起点上，我国发展基础更加坚实，发展环境发生深刻复杂变化，面临新的机遇和挑战。</w:t>
      </w:r>
    </w:p>
    <w:p w14:paraId="1BC35229">
      <w:pPr>
        <w:ind w:firstLine="640" w:firstLineChars="200"/>
        <w:outlineLvl w:val="0"/>
        <w:rPr>
          <w:rFonts w:hint="eastAsia" w:ascii="楷体_GB2312" w:hAnsi="楷体_GB2312" w:eastAsia="楷体_GB2312" w:cs="楷体_GB2312"/>
          <w:lang w:val="en-US" w:eastAsia="zh-CN"/>
        </w:rPr>
      </w:pPr>
      <w:bookmarkStart w:id="29" w:name="_Toc25817"/>
      <w:r>
        <w:rPr>
          <w:rFonts w:hint="eastAsia" w:ascii="楷体_GB2312" w:hAnsi="楷体_GB2312" w:eastAsia="楷体_GB2312" w:cs="楷体_GB2312"/>
          <w:lang w:val="en-US" w:eastAsia="zh-CN"/>
        </w:rPr>
        <w:t>第一节 “十四五”时期我国发展取得重大成就</w:t>
      </w:r>
      <w:bookmarkEnd w:id="29"/>
    </w:p>
    <w:p w14:paraId="5B00931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十四五”时期是全面建设社会主义现代化国家新征程的开局起步阶段，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w:t>
      </w:r>
    </w:p>
    <w:p w14:paraId="7A46B7A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新发展理念引领作用全面彰显，构建新发展格局迈出重要步伐，新质生产力稳步发展，高质量发展扎实推进。经济运行稳中有进，国内生产总值突破140万亿元，现代化产业体系建设取得重大进展，基础设施支撑能力不断提升，数字经济核心产业增加值占比超过10.5%，城乡区域发展平衡性协调性增强。科技创新成果丰硕，全社会研发经费投入强度达到2.8%，攻克一批重大关键核心技术，取得一批重大原创科技成果。全面深化改革进一步推进，落实“两个毫不动摇”的体制机制不断完善，全国统一大市场建设取得积极成效，宏观经济治理效能进一步提升。高水平对外开放不断扩大，开放型经济新体制加快形成，高质量共建“一带一路”走深走实。全过程人民民主深入发展，全面依法治国有效实施。文化事业和文化产业蓬勃发展，精神文化产品丰富多彩。民生保障扎实稳固，居民人均可支配收入年均增长5.4%，城镇新增就业累计达到6242万人，劳动年龄人口平均受教育年限达到11.3年，人均预期寿命提升至79岁以上，脱贫攻坚成果巩固拓展。绿色低碳转型步伐加快，生态环境质量持续改善，非化石能源发电装机容量超过化石能源，地级及以上城市细颗粒物（PM&lt;sub&gt;2.5&lt;/sub&gt;）浓度降至28微克/立方米，地表水达到或好于Ⅲ类水体比例超过90%，森林覆盖率超过25%。国家安全能力有效提升，粮食产量迈上1.4万亿斤大台阶，社会治理效能增强，社会大局保持稳定。国防和军队建设取得重大进展。“一国两制”实践深入推进。中国特色大国外交全面拓展。全面从严治党成效显著，反腐败斗争纵深推进，党的创造力、凝聚力、战斗力明显提高。</w:t>
      </w:r>
    </w:p>
    <w:p w14:paraId="7E1D81C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十四五”规划主要目标任务胜利完成，我国经济实力、科技实力、国防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是全党全军全国各族人民聚力攻坚、团结奋斗的结果。</w:t>
      </w:r>
    </w:p>
    <w:p w14:paraId="2601DC39">
      <w:pPr>
        <w:ind w:firstLine="640" w:firstLineChars="200"/>
        <w:outlineLvl w:val="0"/>
        <w:rPr>
          <w:rFonts w:hint="default" w:ascii="楷体_GB2312" w:hAnsi="楷体_GB2312" w:eastAsia="楷体_GB2312" w:cs="楷体_GB2312"/>
          <w:lang w:val="en-US" w:eastAsia="zh-CN"/>
        </w:rPr>
      </w:pPr>
      <w:bookmarkStart w:id="30" w:name="_Toc5761"/>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“十五五”时期我国发展环境面临深刻复杂变化</w:t>
      </w:r>
      <w:bookmarkEnd w:id="30"/>
    </w:p>
    <w:p w14:paraId="1FF8A39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全球治理赤字加重、安全问题凸显；单边主义、保护主义抬头，霸权主义和强权政治威胁上升，国际经济贸易秩序遇到严峻挑战，世界经济增长动能不足、风险积累；大国博弈更加复杂激烈，外部环境的不确定性不稳定性明显增强。</w:t>
      </w:r>
    </w:p>
    <w:p w14:paraId="302EE84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从国内看，我国经济基础稳、优势多、韧性强、潜能大，长期向好的支撑条件和基本趋势没有变，中国特色社会主义制度优势、超大规模市场优势、完整产业体系优势、丰富人才资源优势更加彰显。同时，发展不平衡不充分问题仍然突出，周期性、结构性、体制性问题相互交织；有效需求不足，供强需弱矛盾突出，国内大循环存在卡点堵点；新旧动能转换任务艰巨；农业农村现代化相对滞后；就业和居民收入增长压力较大，民生保障存在短板弱项；人口结构变化给经济发展、社会治理等提出新课题；重点领域还有风险隐患，防范化解房地产、地方政府债务、中小金融机构等风险任务繁重。</w:t>
      </w:r>
    </w:p>
    <w:p w14:paraId="422AE18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变局蕴含机遇，挑战激发斗志。面对国际风云变幻和各种风险挑战，必须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统筹布局、精心安排，巩固拓展优势、破除瓶颈制约、补强短板弱项，在激烈国际竞争中赢得战略主动，以高质量发展的确定性应对各种不确定性，续写经济快速发展和社会长期稳定两大奇迹新篇章。</w:t>
      </w:r>
    </w:p>
    <w:p w14:paraId="359B5F3E">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31" w:name="_Toc27394"/>
      <w:r>
        <w:rPr>
          <w:rFonts w:hint="default" w:ascii="Times New Roman" w:hAnsi="Times New Roman" w:eastAsia="黑体" w:cs="Times New Roman"/>
          <w:color w:val="000000"/>
          <w:sz w:val="32"/>
          <w:lang w:val="en-US" w:eastAsia="zh-CN"/>
        </w:rPr>
        <w:t>第二章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指导方针</w:t>
      </w:r>
      <w:bookmarkEnd w:id="31"/>
    </w:p>
    <w:p w14:paraId="6FFC5E2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推动“十五五”时期经济社会发展，必须牢牢把握以下指导思想和重大原则。</w:t>
      </w:r>
    </w:p>
    <w:p w14:paraId="598B455A">
      <w:pPr>
        <w:ind w:firstLine="640" w:firstLineChars="200"/>
        <w:outlineLvl w:val="0"/>
        <w:rPr>
          <w:rFonts w:hint="default" w:ascii="楷体_GB2312" w:hAnsi="楷体_GB2312" w:eastAsia="楷体_GB2312" w:cs="楷体_GB2312"/>
          <w:lang w:val="en-US" w:eastAsia="zh-CN"/>
        </w:rPr>
      </w:pPr>
      <w:bookmarkStart w:id="32" w:name="_Toc8391"/>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指导思想</w:t>
      </w:r>
      <w:bookmarkEnd w:id="32"/>
    </w:p>
    <w:p w14:paraId="27623B3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马克思列宁主义、毛泽东思想、邓小平理论、“三个代表”重要思想、科学发展观，全面贯彻习近平新时代中国特色社会主义思想，深入贯彻党的二十大和二十届历次全会精神，认真落实四中全会部署，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0CCC0E89">
      <w:pPr>
        <w:ind w:firstLine="640" w:firstLineChars="200"/>
        <w:outlineLvl w:val="0"/>
        <w:rPr>
          <w:rFonts w:hint="default" w:ascii="楷体_GB2312" w:hAnsi="楷体_GB2312" w:eastAsia="楷体_GB2312" w:cs="楷体_GB2312"/>
          <w:lang w:val="en-US" w:eastAsia="zh-CN"/>
        </w:rPr>
      </w:pPr>
      <w:bookmarkStart w:id="33" w:name="_Toc22161"/>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必须遵循的原则</w:t>
      </w:r>
      <w:bookmarkEnd w:id="33"/>
    </w:p>
    <w:p w14:paraId="5A1E7AE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——坚持党的全面领导。坚决维护党中央权威和集中统一领导，提高党把方向、谋大局、定政策、促改革能力，把党的领导贯穿经济社会发展各方面全过程，为我国社会主义现代化建设提供根本保证。</w:t>
      </w:r>
    </w:p>
    <w:p w14:paraId="729F5EE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192E43E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1B1EB6E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438E311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0E547E1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——坚持统筹发展和安全。在发展中固安全，在安全中谋发展，强化底线思维，有效防范化解各类风险，增强经济和社会韧性，以新安全格局保障新发展格局。</w:t>
      </w:r>
    </w:p>
    <w:p w14:paraId="1D28BBD9">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34" w:name="_Toc7445"/>
      <w:r>
        <w:rPr>
          <w:rFonts w:hint="default" w:ascii="Times New Roman" w:hAnsi="Times New Roman" w:eastAsia="黑体" w:cs="Times New Roman"/>
          <w:color w:val="000000"/>
          <w:sz w:val="32"/>
          <w:lang w:val="en-US" w:eastAsia="zh-CN"/>
        </w:rPr>
        <w:t>第三章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主要目标</w:t>
      </w:r>
      <w:bookmarkEnd w:id="34"/>
    </w:p>
    <w:p w14:paraId="5D3E19C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“十五五”时期经济社会发展要实现以下目标。</w:t>
      </w:r>
    </w:p>
    <w:p w14:paraId="5E105C4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高质量发展取得显著成效。在结构优化和质量提升基础上，国内生产总值增长保持在合理区间、各年度视情提出，为到2035年人均国内生产总值比2020年翻一番、达到中等发达国家水平打好基础。全要素生产率稳步提升，科技进步和制度创新对经济增长的贡献持续加大。居民消费率明显提高，内需拉动经济增长主动力作用持续增强，经济增长潜力得到充分释放。全国统一大市场建设纵深推进，超大规模市场优势持续显现。新型工业化、信息化、城镇化、农业现代化取得重大进展，现代化产业体系完整性、先进性、安全性加快提升，城乡区域发展协调性进一步增强，发展新质生产力、构建新发展格局、建设现代化经济体系取得重大突破。</w:t>
      </w:r>
    </w:p>
    <w:p w14:paraId="5F2FDC9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科技自立自强水平大幅提高。国家创新体系整体效能显著提升，全社会研发经费投入年均增长7%以上，教育科技人才一体发展格局基本形成。基础研究和原始创新能力显著增强，重点领域关键核心技术快速突破，产出一批重大原创性、标志性、引领性科技成果，并跑领跑领域明显增多。科技创新和产业创新深度融合，创新驱动作用明显增强。</w:t>
      </w:r>
    </w:p>
    <w:p w14:paraId="380FF4F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进一步全面深化改革取得新突破。国家治理体系和治理能力现代化深入推进，社会主义市场经济体制更加完善，高水平对外开放体制机制更加健全，更加公平、更有活力的市场环境加快形成，全过程人民民主制度化、规范化、程序化水平进一步提高，社会主义法治国家建设达到更高水平。</w:t>
      </w:r>
    </w:p>
    <w:p w14:paraId="1E2D3F3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7FBC59E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人民生活品质不断提高。就业保持总体稳定，城镇调查失业率低于5.5%，高质量充分就业取得新进展。居民收入增长和经济增长同步、劳动报酬提高和劳动生产率提高同步，分配结构得到优化，中等收入群体持续扩大。劳动年龄人口平均受教育年限提高到11.7年，人民群众养老托育服务需求得到更好满足，人均预期寿命提高到80岁，社会保障制度更加优化更可持续，基本公共服务均等化水平明显提升。</w:t>
      </w:r>
    </w:p>
    <w:p w14:paraId="212CFEA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美丽中国建设取得新的重大进展。绿色生产生活方式基本形成，碳达峰目标如期实现，单位国内生产总值二氧化碳排放降低17%，清洁低碳安全高效的新型能源体系初步建成。生态环境质量全面改善，主要污染物排放总量持续减少，地级及以上城市细颗粒物（PM&lt;sub&gt;2.5&lt;/sub&gt;）浓度降至27微克/立方米以下，优良水体比例提高到85%，森林覆盖率达到25.8%，生态系统多样性稳定性持续性不断提升。</w:t>
      </w:r>
    </w:p>
    <w:p w14:paraId="533DB8C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安全屏障更加巩固。国家安全体系和能力进一步加强，粮食综合生产能力达到1.45万亿斤左右，能源综合生产能力达到58亿吨标准煤，重点领域风险得到有效防范化解，社会治理和公共安全治理水平明显提高，重特大事故得到有效遏制，自然灾害防御水平显著提升，建军一百年奋斗目标如期实现，更高水平平安中国建设扎实推进。</w:t>
      </w:r>
    </w:p>
    <w:p w14:paraId="5AE7864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在此基础上再奋斗五年，到2035年实现我国经济实力、科技实力、国防实力、综合国力和国际影响力大幅跃升，人均国内生产总值达到中等发达国家水平，人民生活更加幸福美好，基本实现社会主义现代化。</w:t>
      </w:r>
    </w:p>
    <w:p w14:paraId="424840B7">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35" w:name="_Toc2640"/>
      <w:r>
        <w:rPr>
          <w:rFonts w:hint="default" w:ascii="方正小标宋简体" w:hAnsi="方正小标宋简体" w:eastAsia="方正小标宋简体" w:cs="方正小标宋简体"/>
          <w:sz w:val="40"/>
          <w:szCs w:val="40"/>
          <w:lang w:val="en-US" w:eastAsia="zh-CN"/>
        </w:rPr>
        <w:t>第二篇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建设现代化产业体系</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巩固壮大实体经济根基</w:t>
      </w:r>
      <w:bookmarkEnd w:id="35"/>
    </w:p>
    <w:p w14:paraId="644BD52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把发展经济的着力点放在实体经济上，坚持智能化、绿色化、融合化方向，加快建设制造强国、质量强国、航天强国、交通强国、网络强国，保持制造业合理比重，构建以先进制造业为骨干的现代化产业体系。</w:t>
      </w:r>
    </w:p>
    <w:p w14:paraId="2D5F390F">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36" w:name="_Toc22270"/>
      <w:r>
        <w:rPr>
          <w:rFonts w:hint="default" w:ascii="Times New Roman" w:hAnsi="Times New Roman" w:eastAsia="黑体" w:cs="Times New Roman"/>
          <w:color w:val="000000"/>
          <w:sz w:val="32"/>
          <w:lang w:val="en-US" w:eastAsia="zh-CN"/>
        </w:rPr>
        <w:t>第四章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优化提升传统产业</w:t>
      </w:r>
      <w:bookmarkEnd w:id="36"/>
    </w:p>
    <w:p w14:paraId="1E3E46F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强化国家标准引领、数智绿色技术赋能、环保安全制度约束，巩固提升我国产业在全球分工中的地位和竞争力。</w:t>
      </w:r>
    </w:p>
    <w:p w14:paraId="671B683C">
      <w:pPr>
        <w:ind w:firstLine="640" w:firstLineChars="200"/>
        <w:outlineLvl w:val="0"/>
        <w:rPr>
          <w:rFonts w:hint="default" w:ascii="楷体_GB2312" w:hAnsi="楷体_GB2312" w:eastAsia="楷体_GB2312" w:cs="楷体_GB2312"/>
          <w:lang w:val="en-US" w:eastAsia="zh-CN"/>
        </w:rPr>
      </w:pPr>
      <w:bookmarkStart w:id="37" w:name="_Toc28616"/>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推动重点产业提质升级</w:t>
      </w:r>
      <w:bookmarkEnd w:id="37"/>
    </w:p>
    <w:p w14:paraId="1967E0C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因势利导、分业施策，促进重点产业化解结构性矛盾、加快向中高端升级。推动钢铁、石化、船舶等产业结构调整，做强做优精品钢材基地、一流石化基地、高端船舶和海洋工程装备基地。推进电子信息、机械装备等全产业链创新，发展高端、短缺产品，加快突破关键零部件、元器件和专用材料。扩大轻工、纺织等优质产品供给。巩固提升建筑业竞争力。推动技术改造升级，发展智能制造、绿色制造、服务型制造，加快产业模式和企业组织形态变革。发展先进制造业集群，建设国家新型工业化示范区。加强全面质量管理，深入实施制造业卓越质量工程，增强质量技术基础能力。推进标准更新升级，严格安全、环保、能效、质量等规范管理，促进市场化兼并重组，推动落后低效产能有序退出。</w:t>
      </w:r>
    </w:p>
    <w:p w14:paraId="47130FAD">
      <w:pPr>
        <w:ind w:firstLine="640" w:firstLineChars="200"/>
        <w:outlineLvl w:val="0"/>
        <w:rPr>
          <w:rFonts w:hint="default" w:ascii="楷体_GB2312" w:hAnsi="楷体_GB2312" w:eastAsia="楷体_GB2312" w:cs="楷体_GB2312"/>
          <w:lang w:val="en-US" w:eastAsia="zh-CN"/>
        </w:rPr>
      </w:pPr>
      <w:bookmarkStart w:id="38" w:name="_Toc13593"/>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提升产业链自主可控水平</w:t>
      </w:r>
      <w:bookmarkEnd w:id="38"/>
    </w:p>
    <w:p w14:paraId="700E841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实施产业基础再造工程，加快突破一批重大基础技术、工艺和产品，推进先进材料、跨尺度制造等创新应用。实施重大技术装备攻关工程，突破一批标志性重大技术装备。滚动实施制造业重点产业链高质量发展行动，建立健全产业链供应链安全风险评估和应对机制，持续增强稀土、稀有金属、超硬材料等竞争优势，加强重要战略性矿产高质高效综合利用。推进国家战略腹地建设和关键产业备份，建设战略性产业基地、物资储备基地和基础设施。建立产业基础竞争力调查制度，强化共性技术研发支撑能力。完善首台（套）、首批次、首版次应用政策。</w:t>
      </w:r>
    </w:p>
    <w:p w14:paraId="367D204E">
      <w:pPr>
        <w:ind w:firstLine="640" w:firstLineChars="200"/>
        <w:outlineLvl w:val="0"/>
        <w:rPr>
          <w:rFonts w:hint="default" w:ascii="楷体_GB2312" w:hAnsi="楷体_GB2312" w:eastAsia="楷体_GB2312" w:cs="楷体_GB2312"/>
          <w:lang w:val="en-US" w:eastAsia="zh-CN"/>
        </w:rPr>
      </w:pPr>
      <w:bookmarkStart w:id="39" w:name="_Toc20871"/>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健全产业健康有序发展促进机制</w:t>
      </w:r>
      <w:bookmarkEnd w:id="39"/>
    </w:p>
    <w:p w14:paraId="586E3A5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产业调控和政策体系，优化产业布局，加强要素协同保障。健全产能监测预警机制，采取规划引导、产能调控、价格治理、行业自律等措施，综合整治“内卷式”竞争。推动产业政策向普惠化和功能性转型，健全产业政策制定实施、信息披露、评估调整和退出机制。完善优质企业梯度培育体系，促进中小企业专精特新发展。合理降低制造业综合成本，加大中长期贷款和信用贷款对制造业技术创新、数智化转型、绿色发展等支持力度。实施制造业人才支持计划和专业技术人才知识更新工程，培养造就卓越工程师、大国工匠、高技能人才。</w:t>
      </w:r>
    </w:p>
    <w:p w14:paraId="2D5E7F63">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40" w:name="_Toc9421"/>
      <w:r>
        <w:rPr>
          <w:rFonts w:hint="default" w:ascii="Times New Roman" w:hAnsi="Times New Roman" w:eastAsia="黑体" w:cs="Times New Roman"/>
          <w:color w:val="000000"/>
          <w:sz w:val="32"/>
          <w:lang w:val="en-US" w:eastAsia="zh-CN"/>
        </w:rPr>
        <w:t>第五章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培育壮大新兴产业和未来产业</w:t>
      </w:r>
      <w:bookmarkEnd w:id="40"/>
    </w:p>
    <w:p w14:paraId="298664A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强化源头技术供给，加快构建应用场景和生态体系，培育更多支柱性先导性产业，构筑产业发展新优势。</w:t>
      </w:r>
    </w:p>
    <w:p w14:paraId="38541F5B">
      <w:pPr>
        <w:ind w:firstLine="640" w:firstLineChars="200"/>
        <w:outlineLvl w:val="0"/>
        <w:rPr>
          <w:rFonts w:hint="default" w:ascii="楷体_GB2312" w:hAnsi="楷体_GB2312" w:eastAsia="楷体_GB2312" w:cs="楷体_GB2312"/>
          <w:lang w:val="en-US" w:eastAsia="zh-CN"/>
        </w:rPr>
      </w:pPr>
      <w:bookmarkStart w:id="41" w:name="_Toc10298"/>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发展壮大新兴产业</w:t>
      </w:r>
      <w:bookmarkEnd w:id="41"/>
    </w:p>
    <w:p w14:paraId="417EB6D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快新一代信息技术、新能源、新材料、智能网联新能源汽车、机器人、生物医药、高端装备、航空航天等战略性新兴产业发展，因地制宜建设各具特色、优势互补的战略性新兴产业集群，着力打造一批成长潜力大、技术含量高、渗透领域广的新兴支柱产业。拓展海洋经济发展空间，推进低空经济健康有序发展。实施新技术新产品新场景大规模应用示范行动，加大场景培育和开放力度，加快新兴产业规模化发展。鼓励发展战略性产品和服务，推进国产大飞机规模化系列化发展，加强北斗系统创新应用，扎实推进智能驾驶、新型太阳能电池、新型储能等关键技术创新，支持创新药临床使用。</w:t>
      </w:r>
    </w:p>
    <w:p w14:paraId="160BF77D">
      <w:pPr>
        <w:ind w:firstLine="640" w:firstLineChars="200"/>
        <w:outlineLvl w:val="0"/>
        <w:rPr>
          <w:rFonts w:hint="default" w:ascii="楷体_GB2312" w:hAnsi="楷体_GB2312" w:eastAsia="楷体_GB2312" w:cs="楷体_GB2312"/>
          <w:lang w:val="en-US" w:eastAsia="zh-CN"/>
        </w:rPr>
      </w:pPr>
      <w:bookmarkStart w:id="42" w:name="_Toc363"/>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前瞻布局未来产业</w:t>
      </w:r>
      <w:bookmarkEnd w:id="42"/>
    </w:p>
    <w:p w14:paraId="5F99B8D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瞄准引领未来发展重点领域，构建未来产业全链条培育体系，推动量子科技、生物制造、氢能和核聚变能、脑机接口、具身智能、第六代移动通信等成为新的经济增长点。加强未来产业识别和动态调整，强化基础性、前沿性、颠覆性技术布局。建立未来产业投入增长和风险分担机制，组织实施未来产业发展示范工程，探索多元技术路线、典型应用场景、可行商业模式、市场监管规则。布局一批国家未来产业研究院和概念验证中心，依托科教资源优势突出、产业基础雄厚地区建设一批未来产业先导区。</w:t>
      </w:r>
    </w:p>
    <w:p w14:paraId="657A6598">
      <w:pPr>
        <w:ind w:firstLine="640" w:firstLineChars="200"/>
        <w:outlineLvl w:val="0"/>
        <w:rPr>
          <w:rFonts w:hint="default" w:ascii="楷体_GB2312" w:hAnsi="楷体_GB2312" w:eastAsia="楷体_GB2312" w:cs="楷体_GB2312"/>
          <w:lang w:val="en-US" w:eastAsia="zh-CN"/>
        </w:rPr>
      </w:pPr>
      <w:bookmarkStart w:id="43" w:name="_Toc31198"/>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完善产业创新发展生态</w:t>
      </w:r>
      <w:bookmarkEnd w:id="43"/>
    </w:p>
    <w:p w14:paraId="426BAF5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着力构建有利于新兴产业孵化成长的市场环境和政策体系。实施产业创新工程，优化战略性产品技术创新组织模式和评价体系，一体推进创新设施建设、技术研究开发、产品迭代升级。完善新兴领域知识产权保护制度，健全知识产权公共服务体系和技术交易服务平台网络，实施新产业标准化领航工程。培育独角兽企业。建立适应新业态发展的高效便捷准入机制，探索“沙盒监管”、触发式监管等新型监管方式。提升低空空域管理精细化水平，加强适航审定能力建设，强化低空飞行安全保障。推进生物医药、智能驾驶、低空经济等新兴领域立法。</w:t>
      </w:r>
    </w:p>
    <w:p w14:paraId="64B0FB60">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44" w:name="_Toc14627"/>
      <w:r>
        <w:rPr>
          <w:rFonts w:hint="default" w:ascii="Times New Roman" w:hAnsi="Times New Roman" w:eastAsia="黑体" w:cs="Times New Roman"/>
          <w:color w:val="000000"/>
          <w:sz w:val="32"/>
          <w:lang w:val="en-US" w:eastAsia="zh-CN"/>
        </w:rPr>
        <w:t>第六章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促进服务业优质高效发展</w:t>
      </w:r>
      <w:bookmarkEnd w:id="44"/>
    </w:p>
    <w:p w14:paraId="295DB7A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实施服务业扩能提质行动，深化服务领域改革开放，完善支持政策体系，全面提升服务业质量效率和竞争力，更好发挥服务业支撑产业升级、满足民生需要、带动就业扩容的作用。</w:t>
      </w:r>
    </w:p>
    <w:p w14:paraId="1EFE47F2">
      <w:pPr>
        <w:ind w:firstLine="640" w:firstLineChars="200"/>
        <w:outlineLvl w:val="0"/>
        <w:rPr>
          <w:rFonts w:hint="default" w:ascii="楷体_GB2312" w:hAnsi="楷体_GB2312" w:eastAsia="楷体_GB2312" w:cs="楷体_GB2312"/>
          <w:lang w:val="en-US" w:eastAsia="zh-CN"/>
        </w:rPr>
      </w:pPr>
      <w:bookmarkStart w:id="45" w:name="_Toc9062"/>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推进生产性服务业向专业化和价值链高端延伸</w:t>
      </w:r>
      <w:bookmarkEnd w:id="45"/>
    </w:p>
    <w:p w14:paraId="02B8944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全链条补强生产性服务业薄弱环节，提高现代服务业与先进制造业、现代农业融合发展水平。大力发展科技服务，提升研发设计、知识产权、科技成果转化、检验检测认证等服务能力，培育具有国际水准的工业设计中心，依托产业集群布局一批行业共性技术平台、中试验证平台和集成高效质量基础设施。提高金融租赁、物流仓储、人力资源等服务综合竞争力，壮大节能环保、数智化转型等服务，提高增值服务比重。做强做优商务服务，发展高水平第三方专业机构，提高公信力和国际认可度。</w:t>
      </w:r>
    </w:p>
    <w:p w14:paraId="2544A709">
      <w:pPr>
        <w:ind w:firstLine="640" w:firstLineChars="200"/>
        <w:outlineLvl w:val="0"/>
        <w:rPr>
          <w:rFonts w:hint="default" w:ascii="楷体_GB2312" w:hAnsi="楷体_GB2312" w:eastAsia="楷体_GB2312" w:cs="楷体_GB2312"/>
          <w:lang w:val="en-US" w:eastAsia="zh-CN"/>
        </w:rPr>
      </w:pPr>
      <w:bookmarkStart w:id="46" w:name="_Toc18073"/>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促进生活性服务业高品质多样化便利化发展</w:t>
      </w:r>
      <w:bookmarkEnd w:id="46"/>
    </w:p>
    <w:p w14:paraId="0CE162D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适应居民消费结构升级，积极发展普惠可及、个性多样的生活性服务业。加快补齐养老、托育、健康等普惠服务短板，健全政府购买服务、公建民营、民办公助等机制，支持多元主体扩大服务供给。鼓励批发零售、住宿餐饮特色优质发展，积极拓展新业态新模式，促进线上线下协同发展。提高家政、物业、快递等服务质量，创新社区集成服务模式，推动品牌化标准化发展。以带动面广的行业为依托，促进多业态融合发展。聚焦全民健康、智慧养老、文化旅游、到家服务等，培育一批生活性服务业新增长点。</w:t>
      </w:r>
    </w:p>
    <w:p w14:paraId="0837F1FF">
      <w:pPr>
        <w:ind w:firstLine="640" w:firstLineChars="200"/>
        <w:outlineLvl w:val="0"/>
        <w:rPr>
          <w:rFonts w:hint="default" w:ascii="楷体_GB2312" w:hAnsi="楷体_GB2312" w:eastAsia="楷体_GB2312" w:cs="楷体_GB2312"/>
          <w:lang w:val="en-US" w:eastAsia="zh-CN"/>
        </w:rPr>
      </w:pPr>
      <w:bookmarkStart w:id="47" w:name="_Toc26745"/>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完善服务业发展政策体系</w:t>
      </w:r>
      <w:bookmarkEnd w:id="47"/>
    </w:p>
    <w:p w14:paraId="75D852C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放宽服务领域准入，扩大优质经营主体，深化监管改革，健全适应业态融合的跨部门跨行业审批监管模式。扩大服务业高水平对外开放，吸引国际知名企业在华投资经营，拓展“制造+服务”海外经营网络。创新服务业融资和用地模式，完善普惠服务价格形成机制和配套政策，鼓励利用存量资源改建服务设施。加快养老、托育等重点领域服务标准建设，推行优质服务承诺、认证与标识制度。提升从业人员专业化水平，完善技能评价机制和信用体系。健全服务业统计监测体系。</w:t>
      </w:r>
    </w:p>
    <w:p w14:paraId="02B7F04B">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48" w:name="_Toc3106"/>
      <w:r>
        <w:rPr>
          <w:rFonts w:hint="default" w:ascii="Times New Roman" w:hAnsi="Times New Roman" w:eastAsia="黑体" w:cs="Times New Roman"/>
          <w:color w:val="000000"/>
          <w:sz w:val="32"/>
          <w:lang w:val="en-US" w:eastAsia="zh-CN"/>
        </w:rPr>
        <w:t>第七章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构建现代化基础设施体系</w:t>
      </w:r>
      <w:bookmarkEnd w:id="48"/>
    </w:p>
    <w:p w14:paraId="2057A74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坚持适度超前、不过度超前，加强基础设施统筹规划，优化布局结构，促进集成融合，提升安全韧性和运营可持续性。</w:t>
      </w:r>
    </w:p>
    <w:p w14:paraId="259A7D51">
      <w:pPr>
        <w:ind w:firstLine="640" w:firstLineChars="200"/>
        <w:outlineLvl w:val="0"/>
        <w:rPr>
          <w:rFonts w:hint="default" w:ascii="楷体_GB2312" w:hAnsi="楷体_GB2312" w:eastAsia="楷体_GB2312" w:cs="楷体_GB2312"/>
          <w:lang w:val="en-US" w:eastAsia="zh-CN"/>
        </w:rPr>
      </w:pPr>
      <w:bookmarkStart w:id="49" w:name="_Toc16952"/>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完善现代化综合交通运输体系</w:t>
      </w:r>
      <w:bookmarkEnd w:id="49"/>
    </w:p>
    <w:p w14:paraId="38B1753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进补网强链提质，加强跨区域统筹布局、跨方式一体衔接，全面提高交通基础设施综合效益。完善国家综合立体交通网主骨架，高质量建设沿海沿边沿江、出疆入藏、西部陆海新通道等战略骨干通道，基本建成“八纵八横”高速铁路主通道和国家高速公路网，推进内河高等级航道提质升级，基本建成世界级港口群和机场群。强化薄弱地区覆盖和通达保障，推动普速铁路、普通国省道升级改造，开展新一轮农村公路提升行动，加强西部地区铁路和支线机场建设，完善边境地区路网布局。建设国际性、全国性综合交通枢纽城市，加强集疏运网络建设和场站衔接，完善国家邮政快递枢纽。健全多元化、韧性强的国际运输通道体系，推动跨境交通基础设施互联互通，促进国际航空货运健康有序发展。统筹功能提升和绿色安全智能发展，推进交通基础设施更新改造和养护管理，加强安全风险评估和监测预警，实施公路安全韧性提升工程。深化综合交通运输体系改革，推进铁路体制改革和收费公路政策优化。</w:t>
      </w:r>
    </w:p>
    <w:p w14:paraId="42DB4065">
      <w:pPr>
        <w:ind w:firstLine="640" w:firstLineChars="200"/>
        <w:outlineLvl w:val="0"/>
        <w:rPr>
          <w:rFonts w:hint="default" w:ascii="楷体_GB2312" w:hAnsi="楷体_GB2312" w:eastAsia="楷体_GB2312" w:cs="楷体_GB2312"/>
          <w:lang w:val="en-US" w:eastAsia="zh-CN"/>
        </w:rPr>
      </w:pPr>
      <w:bookmarkStart w:id="50" w:name="_Toc17910"/>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加力建设新型能源基础设施</w:t>
      </w:r>
      <w:bookmarkEnd w:id="50"/>
    </w:p>
    <w:p w14:paraId="31DE2E1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实施能源安全新战略，加快构建清洁低碳安全高效的新型能源体系，建设能源强国。推进非化石能源安全可靠有序替代化石能源，坚持风光水核等多能并举，实施非化石能源十年倍增行动。统筹就地消纳和外送，建设“三北”风电光伏、西南水风光一体化、沿海核电、海上风电等清洁能源基地，加强分布式能源就近开发利用，布局发展绿色氢氨醇，积极推进光热发电和地热能利用。加强化石能源清洁高效利用，推进煤电改造升级和散煤替代。着力构建新型电力系统，全面提升电力系统互补互济和安全韧性水平，优化全国电力流向和跨区域通道布局，加快智能电网建设，完善城乡配电网，科学布局抽水蓄能，大力发展新型储能。提高终端用能电气化水平，推动能源消费绿色化低碳化。基本建成全国统一电力市场体系，完善油气“全国一张网”运行调度机制。</w:t>
      </w:r>
    </w:p>
    <w:p w14:paraId="56F3A1F7">
      <w:pPr>
        <w:ind w:firstLine="640" w:firstLineChars="200"/>
        <w:outlineLvl w:val="0"/>
        <w:rPr>
          <w:rFonts w:hint="default" w:ascii="楷体_GB2312" w:hAnsi="楷体_GB2312" w:eastAsia="楷体_GB2312" w:cs="楷体_GB2312"/>
          <w:lang w:val="en-US" w:eastAsia="zh-CN"/>
        </w:rPr>
      </w:pPr>
      <w:bookmarkStart w:id="51" w:name="_Toc27952"/>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加快建设现代化水网</w:t>
      </w:r>
      <w:bookmarkEnd w:id="51"/>
    </w:p>
    <w:p w14:paraId="47E80BD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强国家水网建设，增强洪涝灾害防御、水资源统筹调配、城乡供水保障能力。统筹流域性洪水和局域性灾害防御，加强防洪水库、河道及堤防、蓄滞洪区建设，推进中小河流系统治理和病险水库除险加固，增强暴雨集中区防洪避险能力。健全跨流域跨区域水资源调配体系，完善国家水网主骨架和骨干输配水通道。加强供水灌溉保障，整装推进大中型灌区建设改造，加快城市应急备用水源工程建设。加强河湖生态保护治理，推进水源涵养与水土保持，提升水生态系统自我修复能力。实施地下水保护治理行动，逐步实现采补平衡。</w:t>
      </w:r>
    </w:p>
    <w:p w14:paraId="3E6053C5">
      <w:pPr>
        <w:ind w:firstLine="640" w:firstLineChars="200"/>
        <w:outlineLvl w:val="0"/>
        <w:rPr>
          <w:rFonts w:hint="default" w:ascii="楷体_GB2312" w:hAnsi="楷体_GB2312" w:eastAsia="楷体_GB2312" w:cs="楷体_GB2312"/>
          <w:lang w:val="en-US" w:eastAsia="zh-CN"/>
        </w:rPr>
      </w:pPr>
      <w:bookmarkStart w:id="52" w:name="_Toc13012"/>
      <w:r>
        <w:rPr>
          <w:rFonts w:hint="default" w:ascii="楷体_GB2312" w:hAnsi="楷体_GB2312" w:eastAsia="楷体_GB2312" w:cs="楷体_GB2312"/>
          <w:lang w:val="en-US" w:eastAsia="zh-CN"/>
        </w:rPr>
        <w:t>第四节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适度超前建设新型基础设施</w:t>
      </w:r>
      <w:bookmarkEnd w:id="52"/>
    </w:p>
    <w:p w14:paraId="7A5C665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围绕支撑产业升级和数智化发展，推进新型基础设施布局建设和集约高效利用。完善信息通信网络，深化第五代移动通信（5G）、千兆光网规模部署，推进第五代移动通信演进（5G—A）、万兆光网建设发展和第六代移动通信（6G）技术创新，推动移动物联网自主迭代。深入推进东数西算工程，构建多层次算力设施体系和全国一体化算力网。实施国家区块链网络建设工程。完善民用空间基础设施，统筹建设卫星通信、导航、遥感系统，加快低轨卫星互联网组网。推进交通、能源、水利等基础设施数智化升级。</w:t>
      </w:r>
    </w:p>
    <w:p w14:paraId="78D772E6">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53" w:name="_Toc30692"/>
      <w:r>
        <w:rPr>
          <w:rFonts w:hint="default" w:ascii="方正小标宋简体" w:hAnsi="方正小标宋简体" w:eastAsia="方正小标宋简体" w:cs="方正小标宋简体"/>
          <w:sz w:val="40"/>
          <w:szCs w:val="40"/>
          <w:lang w:val="en-US" w:eastAsia="zh-CN"/>
        </w:rPr>
        <w:t>第三篇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加快高水平科技自立自强 引领发展新质生产力</w:t>
      </w:r>
      <w:bookmarkEnd w:id="53"/>
      <w:r>
        <w:rPr>
          <w:rFonts w:hint="eastAsia" w:ascii="方正小标宋简体" w:hAnsi="方正小标宋简体" w:eastAsia="方正小标宋简体" w:cs="方正小标宋简体"/>
          <w:sz w:val="40"/>
          <w:szCs w:val="40"/>
          <w:lang w:val="en-US" w:eastAsia="zh-CN"/>
        </w:rPr>
        <w:t xml:space="preserve"> </w:t>
      </w:r>
    </w:p>
    <w:p w14:paraId="795A6B0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抓住新一轮科技革命和产业变革历史机遇，统筹教育强国、科技强国、人才强国建设，提升国家创新体系整体效能，全面增强自主创新能力，抢占科技发展制高点，推动科技创新和产业创新深度融合，不断催生新质生产力。</w:t>
      </w:r>
    </w:p>
    <w:p w14:paraId="772A2404">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54" w:name="_Toc20205"/>
      <w:r>
        <w:rPr>
          <w:rFonts w:hint="default" w:ascii="Times New Roman" w:hAnsi="Times New Roman" w:eastAsia="黑体" w:cs="Times New Roman"/>
          <w:color w:val="000000"/>
          <w:sz w:val="32"/>
          <w:lang w:val="en-US" w:eastAsia="zh-CN"/>
        </w:rPr>
        <w:t>第八章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加强原始创新和关键核心技术攻关</w:t>
      </w:r>
      <w:bookmarkEnd w:id="54"/>
    </w:p>
    <w:p w14:paraId="777CC3E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坚持技术驱动和需求拉动相结合、锻长板和补短板相结合，完善新型举国体制，推动产出更多标志性原创成果。</w:t>
      </w:r>
    </w:p>
    <w:p w14:paraId="0260BBBC">
      <w:pPr>
        <w:ind w:firstLine="640" w:firstLineChars="200"/>
        <w:outlineLvl w:val="0"/>
        <w:rPr>
          <w:rFonts w:hint="default" w:ascii="楷体_GB2312" w:hAnsi="楷体_GB2312" w:eastAsia="楷体_GB2312" w:cs="楷体_GB2312"/>
          <w:lang w:val="en-US" w:eastAsia="zh-CN"/>
        </w:rPr>
      </w:pPr>
      <w:bookmarkStart w:id="55" w:name="_Toc24209"/>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打好关键核心技术攻坚战</w:t>
      </w:r>
      <w:bookmarkEnd w:id="55"/>
    </w:p>
    <w:p w14:paraId="088FB97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聚焦战略必争领域和产业链供应链薄弱环节，采取超常规措施，全链条推动集成电路、工业母机、高端仪器、基础软件、先进材料、生物制造等重点领域关键核心技术攻关取得决定性突破。健全需求导向的攻关任务凝练机制，开展技术经济安全评估。强化跨领域跨学科协同，健全重大任务人才特殊调配机制，完善“揭榜挂帅”、“赛马”等制度，探索以奖代补、后补助等资金支持方式。强化以用促攻、攻用结合，一体推进技术研发、成果转化、标准研制、产业培育，加快攻关成果应用和产品迭代升级。</w:t>
      </w:r>
    </w:p>
    <w:p w14:paraId="1AD33074">
      <w:pPr>
        <w:ind w:firstLine="640" w:firstLineChars="200"/>
        <w:outlineLvl w:val="0"/>
        <w:rPr>
          <w:rFonts w:hint="default" w:ascii="楷体_GB2312" w:hAnsi="楷体_GB2312" w:eastAsia="楷体_GB2312" w:cs="楷体_GB2312"/>
          <w:lang w:val="en-US" w:eastAsia="zh-CN"/>
        </w:rPr>
      </w:pPr>
      <w:bookmarkStart w:id="56" w:name="_Toc6937"/>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强化战略前沿领域科技布局</w:t>
      </w:r>
      <w:bookmarkEnd w:id="56"/>
    </w:p>
    <w:p w14:paraId="499626D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瞄准世界科技前沿强化系统布局，实施人工智能、量子科技、生物科技、新能源等科技战略部署，加快突破基础理论和底层技术，促进转化应用。高水平组织前沿技术预测预见，建立国家关键和新兴技术清单，持续推动前沿技术研发。强化科学研究、技术开发原始创新导向，优化有利于原创性颠覆性创新的环境，创新非共识项目遴选和资助机制，扩大国家重大科技任务、国家自然科学基金原创性颠覆性项目规模和比例。突出国家战略需求，扎实推进国家科技重大专项，超前部署面向2035的国家重大科技项目。</w:t>
      </w:r>
    </w:p>
    <w:p w14:paraId="6D1B24E1">
      <w:pPr>
        <w:ind w:firstLine="640" w:firstLineChars="200"/>
        <w:outlineLvl w:val="0"/>
        <w:rPr>
          <w:rFonts w:hint="default" w:ascii="楷体_GB2312" w:hAnsi="楷体_GB2312" w:eastAsia="楷体_GB2312" w:cs="楷体_GB2312"/>
          <w:lang w:val="en-US" w:eastAsia="zh-CN"/>
        </w:rPr>
      </w:pPr>
      <w:bookmarkStart w:id="57" w:name="_Toc26133"/>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全面提升基础研究水平</w:t>
      </w:r>
      <w:bookmarkEnd w:id="57"/>
    </w:p>
    <w:p w14:paraId="038DBD2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强基础研究战略性、前瞻性、体系化布局，统筹推进目标导向和自由探索的基础研究。加快形成基础研究多元化投入格局，加大财政投入力度，完善税收激励政策，引导有条件的地方、企业、社会组织、个人支持基础研究，鼓励设立基础研究公益基金，实现基础研究经费投入占研发经费投入比重明显提高。完善竞争性支持和稳定支持相结合的投入机制，加大对从事基础研究的优势团队和青年科技人才长期稳定支持，探索长周期资助模式。鼓励开展高风险、高价值基础研究，营造鼓励探索、宽容失败的良好环境。围绕极宏观、极微观、极端条件、极综合交叉的科学前沿，加强新兴领域、交叉融合和跨学科基础研究。</w:t>
      </w:r>
    </w:p>
    <w:p w14:paraId="5559D03C">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58" w:name="_Toc31382"/>
      <w:r>
        <w:rPr>
          <w:rFonts w:hint="default" w:ascii="Times New Roman" w:hAnsi="Times New Roman" w:eastAsia="黑体" w:cs="Times New Roman"/>
          <w:color w:val="000000"/>
          <w:sz w:val="32"/>
          <w:lang w:val="en-US" w:eastAsia="zh-CN"/>
        </w:rPr>
        <w:t>第九章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提高体系化创新能力</w:t>
      </w:r>
      <w:bookmarkEnd w:id="58"/>
    </w:p>
    <w:p w14:paraId="368FA1C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统筹国家战略科技力量建设，提高创新资源配置效率，构建自主完备、开放高效的国家创新体系。</w:t>
      </w:r>
    </w:p>
    <w:p w14:paraId="4D1569F9">
      <w:pPr>
        <w:ind w:firstLine="640" w:firstLineChars="200"/>
        <w:outlineLvl w:val="0"/>
        <w:rPr>
          <w:rFonts w:hint="default" w:ascii="楷体_GB2312" w:hAnsi="楷体_GB2312" w:eastAsia="楷体_GB2312" w:cs="楷体_GB2312"/>
          <w:lang w:val="en-US" w:eastAsia="zh-CN"/>
        </w:rPr>
      </w:pPr>
      <w:bookmarkStart w:id="59" w:name="_Toc14120"/>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增强国家战略科技力量引领作用</w:t>
      </w:r>
      <w:bookmarkEnd w:id="59"/>
    </w:p>
    <w:p w14:paraId="4B39110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优化国家实验室、国家科研机构、高水平研究型大学和科技领军企业等国家战略科技力量定位和布局。发挥国家实验室龙头作用，支持国家实验室牵头实施国家重大科技任务、探索新型科研组织模式，加强全国重点实验室建设。加快国家科研机构布局调整和优化重组，完善与职责定位相适应的管理运行机制。支持高水平研究型大学创造一流学术环境，打造基础研究主力军和人才培养主阵地。培育壮大科技领军企业，提升整合创新资源、构建产业生态能力。鼓励和规范发展新型研发机构。</w:t>
      </w:r>
    </w:p>
    <w:p w14:paraId="190E0142">
      <w:pPr>
        <w:ind w:firstLine="640" w:firstLineChars="200"/>
        <w:outlineLvl w:val="0"/>
        <w:rPr>
          <w:rFonts w:hint="default" w:ascii="楷体_GB2312" w:hAnsi="楷体_GB2312" w:eastAsia="楷体_GB2312" w:cs="楷体_GB2312"/>
          <w:lang w:val="en-US" w:eastAsia="zh-CN"/>
        </w:rPr>
      </w:pPr>
      <w:bookmarkStart w:id="60" w:name="_Toc17380"/>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强化科技创新资源保障</w:t>
      </w:r>
      <w:bookmarkEnd w:id="60"/>
    </w:p>
    <w:p w14:paraId="0F93689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统筹协调的科技任务部署机制，健全国家重大科技决策咨询制度。完善中央财政科技经费分配和管理使用机制，健全重大科技任务央地投入共担机制，提高投入绩效。扩大财政科研项目经费“包干制”范围，赋予科学家更大技术路线决定权、更大经费支配权、更大资源调度权。强化科技基础条件自主保障，统筹科技创新平台基地建设，体系化布局建设重大科技基础设施，加强高端科研仪器、科技期刊、科学数据等条件建设，强化资源开放共享。完善区域创新体系，强化国际科技创新中心策源功能，布局建设区域科技创新中心和产业科技创新高地，增强综合性国家科学中心创新资源集群效应，完善央地联动、区域协同的创新机制。</w:t>
      </w:r>
    </w:p>
    <w:p w14:paraId="5E24599F">
      <w:pPr>
        <w:ind w:firstLine="640" w:firstLineChars="200"/>
        <w:outlineLvl w:val="0"/>
        <w:rPr>
          <w:rFonts w:hint="default" w:ascii="楷体_GB2312" w:hAnsi="楷体_GB2312" w:eastAsia="楷体_GB2312" w:cs="楷体_GB2312"/>
          <w:lang w:val="en-US" w:eastAsia="zh-CN"/>
        </w:rPr>
      </w:pPr>
      <w:bookmarkStart w:id="61" w:name="_Toc1095"/>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构建高水平科技开放合作新格局</w:t>
      </w:r>
      <w:bookmarkEnd w:id="61"/>
    </w:p>
    <w:p w14:paraId="6973C1F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营造具有全球竞争力的开放创新生态，支持与各国科研人员共同攻克基础前沿科学问题。发挥面向全球的科学研究基金作用，扩大科技计划对外开放，建立健全科技资金跨境拨付、境外使用管理制度和科研数据跨境安全有序流动机制，推动重大科研基础设施和平台向全球科学家开放使用。优化高校、科研院所、科技社团对外专业交流合作管理机制。牵头实施并积极参与国际大科学计划和大科学工程，支持在我国境内设立国际科技组织，打造具有全球影响力的国际科技奖项。</w:t>
      </w:r>
    </w:p>
    <w:p w14:paraId="566CD090">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62" w:name="_Toc17799"/>
      <w:r>
        <w:rPr>
          <w:rFonts w:hint="default" w:ascii="Times New Roman" w:hAnsi="Times New Roman" w:eastAsia="黑体" w:cs="Times New Roman"/>
          <w:color w:val="000000"/>
          <w:sz w:val="32"/>
          <w:lang w:val="en-US" w:eastAsia="zh-CN"/>
        </w:rPr>
        <w:t>第十章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强化企业科技创新主体地位</w:t>
      </w:r>
      <w:bookmarkEnd w:id="62"/>
    </w:p>
    <w:p w14:paraId="3733757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落实企业在技术创新决策、研发投入、科研组织和成果转化应用中的主体地位，促进创新链产业链资金链人才链深度融合。</w:t>
      </w:r>
    </w:p>
    <w:p w14:paraId="41539ED1">
      <w:pPr>
        <w:ind w:firstLine="640" w:firstLineChars="200"/>
        <w:outlineLvl w:val="0"/>
        <w:rPr>
          <w:rFonts w:hint="default" w:ascii="楷体_GB2312" w:hAnsi="楷体_GB2312" w:eastAsia="楷体_GB2312" w:cs="楷体_GB2312"/>
          <w:lang w:val="en-US" w:eastAsia="zh-CN"/>
        </w:rPr>
      </w:pPr>
      <w:bookmarkStart w:id="63" w:name="_Toc6142"/>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推动创新资源向企业集聚</w:t>
      </w:r>
      <w:bookmarkEnd w:id="63"/>
    </w:p>
    <w:p w14:paraId="3ED0B78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建立健全项目、平台、数据、人才等创新资源向企业集聚的政策体系。提高企业在国家重大科技创新决策中的参与度，将产业关键共性技术需求作为国家科技计划支持的重要方向，推动具备条件的企业重大科技项目纳入国家科技计划体系。支持企业更多承担国家科技攻关任务，在技术路线制定、攻关任务推进、参与单位选择和经费使用分配方面赋予牵头企业更大自主权。优先支持科技型骨干企业建设国家科技创新平台基地，加大国家科学数据和工程试验数据、人才计划向企业开放力度。完善科研人员离岗创业、兼职兼薪等政策，激励优秀人才向企业流动。</w:t>
      </w:r>
    </w:p>
    <w:p w14:paraId="44A7FD1D">
      <w:pPr>
        <w:ind w:firstLine="640" w:firstLineChars="200"/>
        <w:outlineLvl w:val="0"/>
        <w:rPr>
          <w:rFonts w:hint="default" w:ascii="楷体_GB2312" w:hAnsi="楷体_GB2312" w:eastAsia="楷体_GB2312" w:cs="楷体_GB2312"/>
          <w:lang w:val="en-US" w:eastAsia="zh-CN"/>
        </w:rPr>
      </w:pPr>
      <w:bookmarkStart w:id="64" w:name="_Toc17831"/>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加强企业主导的产学研融通创新</w:t>
      </w:r>
      <w:bookmarkEnd w:id="64"/>
    </w:p>
    <w:p w14:paraId="01E6322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鼓励企业面向产业需求与高校、科研院所联合开展科研攻关。支持科技型骨干企业牵头组建创新联合体，开展关键共性技术研发及科技成果中试和示范应用。深化职务科技成果赋权改革，建立职务科技成果资产单列管理制度，推进技术转移体系建设，加快科技成果高效转化应用。引导高校、科研院所按照先使用后付费方式把科技创新成果许可给中小微企业使用。鼓励科技领军企业向中小微企业开放科研条件和应用场景、提供技术开发服务。</w:t>
      </w:r>
    </w:p>
    <w:p w14:paraId="096BC440">
      <w:pPr>
        <w:ind w:firstLine="640" w:firstLineChars="200"/>
        <w:outlineLvl w:val="0"/>
        <w:rPr>
          <w:rFonts w:hint="default" w:ascii="楷体_GB2312" w:hAnsi="楷体_GB2312" w:eastAsia="楷体_GB2312" w:cs="楷体_GB2312"/>
          <w:lang w:val="en-US" w:eastAsia="zh-CN"/>
        </w:rPr>
      </w:pPr>
      <w:bookmarkStart w:id="65" w:name="_Toc22129"/>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完善促进企业创新的政策体系</w:t>
      </w:r>
      <w:bookmarkEnd w:id="65"/>
    </w:p>
    <w:p w14:paraId="1273218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强普惠性政策供给，营造有利于企业创新的良好环境。支持高新技术企业和科技型中小企业发展，提高企业研发费用加计扣除比例。建立企业研发准备金制度。构建同科技创新相适应的科技金融体制，完善长期资本投早、投小、投长期、投硬科技支持政策，支持优质科技型企业上市融资、发行债券，高质量建设债券市场“科技板”，大力发展创业投资，多渠道拓宽中长期创业投资资金来源，发挥国家创业投资引导基金、国家级并购基金作用。提高外资在华开展股权投资、风险投资便利性。加大政府采购自主创新产品力度。建立科技保险政策体系，丰富科技保险产品。强化知识产权全链条保护，优化专利商标审查政策，全面实施专利开放许可制度。</w:t>
      </w:r>
    </w:p>
    <w:p w14:paraId="5D386E59">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66" w:name="_Toc31725"/>
      <w:r>
        <w:rPr>
          <w:rFonts w:hint="default" w:ascii="Times New Roman" w:hAnsi="Times New Roman" w:eastAsia="黑体" w:cs="Times New Roman"/>
          <w:color w:val="000000"/>
          <w:sz w:val="32"/>
          <w:lang w:val="en-US" w:eastAsia="zh-CN"/>
        </w:rPr>
        <w:t>第十一章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一体推进教育科技人才发展</w:t>
      </w:r>
      <w:bookmarkEnd w:id="66"/>
    </w:p>
    <w:p w14:paraId="425C635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深化教育科技人才一体改革，强化规划衔接、政策协同、资源统筹、评价联动，促进科技自主创新和人才自主培养良性互动。</w:t>
      </w:r>
    </w:p>
    <w:p w14:paraId="0B7C9865">
      <w:pPr>
        <w:ind w:firstLine="640" w:firstLineChars="200"/>
        <w:outlineLvl w:val="0"/>
        <w:rPr>
          <w:rFonts w:hint="default" w:ascii="楷体_GB2312" w:hAnsi="楷体_GB2312" w:eastAsia="楷体_GB2312" w:cs="楷体_GB2312"/>
          <w:lang w:val="en-US" w:eastAsia="zh-CN"/>
        </w:rPr>
      </w:pPr>
      <w:bookmarkStart w:id="67" w:name="_Toc21599"/>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建立健全一体推进的协调机制</w:t>
      </w:r>
      <w:bookmarkEnd w:id="67"/>
    </w:p>
    <w:p w14:paraId="02D70CC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教育科技人才战略统筹实施机制，加强战略目标有机衔接、战略任务一体部署、政策措施协调发力、资源要素统筹配置，推动教育科技人才平台基地协同布局，建设具有全球影响力的教育中心、科学中心、人才中心。在有条件的地方探索建立教育科技人才统筹管理机制。围绕创新需求加快建设国家战略人才力量，加大对战略科学家、科技领军人才、基础研究人才、青年科技人才等的培养和支持力度。加强人才协作，优化人才结构，完善有序流动机制，促进人才区域协调发展。</w:t>
      </w:r>
    </w:p>
    <w:p w14:paraId="6F87CDCF">
      <w:pPr>
        <w:ind w:firstLine="640" w:firstLineChars="200"/>
        <w:outlineLvl w:val="0"/>
        <w:rPr>
          <w:rFonts w:hint="default" w:ascii="楷体_GB2312" w:hAnsi="楷体_GB2312" w:eastAsia="楷体_GB2312" w:cs="楷体_GB2312"/>
          <w:lang w:val="en-US" w:eastAsia="zh-CN"/>
        </w:rPr>
      </w:pPr>
      <w:bookmarkStart w:id="68" w:name="_Toc16140"/>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协同推进创新型人才培养</w:t>
      </w:r>
      <w:bookmarkEnd w:id="68"/>
    </w:p>
    <w:p w14:paraId="4D402D4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围绕科技创新、产业发展和国家战略需求协同育人，提高人才自主培养质量。聚焦优势学科和战略急需适度扩大“双一流”建设范围，新建若干所新型研究型大学。健全高等教育学科专业设置调整机制，超常规布局人工智能、集成电路等新兴领域急需学科专业，深入实施基础学科和交叉学科突破计划。强化科研机构、创新平台、企业、科技计划人才集聚培养功能，招生指标向重大科技任务承担单位倾斜。探索拔尖创新人才培养新模式，加强青少年科学素养、批判性思维和创新能力培养，强化科技教育和人文教育协同，加强基础学科、交叉学科和战略急需领域本硕博衔接培养。</w:t>
      </w:r>
    </w:p>
    <w:p w14:paraId="115A1CA9">
      <w:pPr>
        <w:ind w:firstLine="640" w:firstLineChars="200"/>
        <w:outlineLvl w:val="0"/>
        <w:rPr>
          <w:rFonts w:hint="default" w:ascii="楷体_GB2312" w:hAnsi="楷体_GB2312" w:eastAsia="楷体_GB2312" w:cs="楷体_GB2312"/>
          <w:lang w:val="en-US" w:eastAsia="zh-CN"/>
        </w:rPr>
      </w:pPr>
      <w:bookmarkStart w:id="69" w:name="_Toc30440"/>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联动推进激励评价机制创新</w:t>
      </w:r>
      <w:bookmarkEnd w:id="69"/>
    </w:p>
    <w:p w14:paraId="60B08B5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创新能力、质量、实效、贡献为评价导向，深化项目评审、机构评估、人才评价、收入分配改革，激发创新创造动力活力。开展以成果原创性和学术价值为主的基础研究评价，优化国际同行评价。推行以用户和市场反馈为主的应用研究和技术开发评价，将新技术新产品作为业绩考核、职称评定、人才计划支持的重要依据。赋予用人单位更大人才评价自主权，防止简单以称号头衔确定薪酬待遇、配置资源。完善人员编制、薪酬待遇、职称评聘、考核晋升等配套政策，畅通高校、科研院所、企业人才交流通道。健全海外引进人才支持保障机制，建立高技术人才移民制度，引育世界优秀人才。加强科学技术普及，培育创新文化，弘扬科学家精神。加强科技法治、伦理、诚信、安全建设。</w:t>
      </w:r>
    </w:p>
    <w:p w14:paraId="7E592F96">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70" w:name="_Toc11227"/>
      <w:r>
        <w:rPr>
          <w:rFonts w:hint="default" w:ascii="方正小标宋简体" w:hAnsi="方正小标宋简体" w:eastAsia="方正小标宋简体" w:cs="方正小标宋简体"/>
          <w:sz w:val="40"/>
          <w:szCs w:val="40"/>
          <w:lang w:val="en-US" w:eastAsia="zh-CN"/>
        </w:rPr>
        <w:t>第四篇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深入推进数字中国建设</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提升数智化发展水平</w:t>
      </w:r>
      <w:bookmarkEnd w:id="70"/>
    </w:p>
    <w:p w14:paraId="7C02AA6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把握数字化、网络化、智能化发展大势，充分发挥我国数据资源丰富、产业体系完备、应用场景广阔优势，激活数据要素潜能，加快数智技术创新，深化拓展“人工智能+”，赋能经济社会发展和治理能力提升，促进生产方式深层次变革和生产力革命性跃迁。</w:t>
      </w:r>
    </w:p>
    <w:p w14:paraId="262EDCC0">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71" w:name="_Toc27360"/>
      <w:r>
        <w:rPr>
          <w:rFonts w:hint="default" w:ascii="Times New Roman" w:hAnsi="Times New Roman" w:eastAsia="黑体" w:cs="Times New Roman"/>
          <w:color w:val="000000"/>
          <w:sz w:val="32"/>
          <w:lang w:val="en-US" w:eastAsia="zh-CN"/>
        </w:rPr>
        <w:t>第十二章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强化算力算法数据高效供给</w:t>
      </w:r>
      <w:bookmarkEnd w:id="71"/>
    </w:p>
    <w:p w14:paraId="750B5E1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统筹推进算力设施建设、模型算法发展和高质量数据资源供给，筑牢数智化发展底座。</w:t>
      </w:r>
    </w:p>
    <w:p w14:paraId="152925F1">
      <w:pPr>
        <w:ind w:firstLine="640" w:firstLineChars="200"/>
        <w:outlineLvl w:val="0"/>
        <w:rPr>
          <w:rFonts w:hint="default" w:ascii="楷体_GB2312" w:hAnsi="楷体_GB2312" w:eastAsia="楷体_GB2312" w:cs="楷体_GB2312"/>
          <w:lang w:val="en-US" w:eastAsia="zh-CN"/>
        </w:rPr>
      </w:pPr>
      <w:bookmarkStart w:id="72" w:name="_Toc31206"/>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加强算力设施支撑</w:t>
      </w:r>
      <w:bookmarkEnd w:id="72"/>
    </w:p>
    <w:p w14:paraId="4C1574D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布局、有序建设算力设施，推进算力资源规模化、集约化、绿色化、普惠化发展。加快国家枢纽算力设施集群建设，支持有条件地区根据低时延场景需求适度发展算力，推进云边端协同发展。加强高性能高质量智算资源供给，论证建设超大规模智算集群。推进算力设施市场化建设运营，支持通过政府购买算力服务、算力租赁等多种方式满足算力需求，创新发展标准化可扩展的智算云服务。推动绿色电力与算力协同布局。加强全国一体化算力监测调度，提升算力接入和精准匹配能力。加快培育自主可控、协同运行的软硬件生态。提升算力普惠易用水平，降低中小企业用算成本。</w:t>
      </w:r>
    </w:p>
    <w:p w14:paraId="2089C561">
      <w:pPr>
        <w:ind w:firstLine="640" w:firstLineChars="200"/>
        <w:outlineLvl w:val="0"/>
        <w:rPr>
          <w:rFonts w:hint="default" w:ascii="楷体_GB2312" w:hAnsi="楷体_GB2312" w:eastAsia="楷体_GB2312" w:cs="楷体_GB2312"/>
          <w:lang w:val="en-US" w:eastAsia="zh-CN"/>
        </w:rPr>
      </w:pPr>
      <w:bookmarkStart w:id="73" w:name="_Toc30592"/>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促进模型算法迭代创新</w:t>
      </w:r>
      <w:bookmarkEnd w:id="73"/>
    </w:p>
    <w:p w14:paraId="6A45339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快突破人工智能基础理论和核心技术，推进人工智能模型架构改进、算法优化，强化“模芯云用”协同创新。构建任务导向、灵活授权、跨域协同的算法创新组织模式，加快研究更加高效的模型训练和推理方法。鼓励多模态、智能体、具身智能、群体智能等技术创新，探索通用人工智能发展路径。推动通用大模型和行业专用模型同步发展，依托高价值场景推动模型应用落地和迭代升级。建立健全模型能力评估体系。</w:t>
      </w:r>
    </w:p>
    <w:p w14:paraId="43EF174F">
      <w:pPr>
        <w:ind w:firstLine="640" w:firstLineChars="200"/>
        <w:outlineLvl w:val="0"/>
        <w:rPr>
          <w:rFonts w:hint="default" w:ascii="楷体_GB2312" w:hAnsi="楷体_GB2312" w:eastAsia="楷体_GB2312" w:cs="楷体_GB2312"/>
          <w:lang w:val="en-US" w:eastAsia="zh-CN"/>
        </w:rPr>
      </w:pPr>
      <w:bookmarkStart w:id="74" w:name="_Toc4577"/>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深化数据资源开发利用</w:t>
      </w:r>
      <w:bookmarkEnd w:id="74"/>
    </w:p>
    <w:p w14:paraId="29EAC7B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构建国家数据资源体系，健全数据资源统计调查制度，建立全国数据资源“一本账”。统筹推进政务数据共享、公共数据开放和授权运营，健全公共数据资源开发利用责任制和个人数据合规利用机制，推动企业数据、行业数据开发开放。完善数据标准体系和质量管理体系，加快建设人工智能语料库，面向能源、交通、制造、教育、健康、金融等领域建设高质量数据集，建立人工智能训练数据合理使用制度。加强数据领域关键技术和设备研发应用，培育壮大数据产业，深入开展“数据要素×”行动。建设和运营国家数据基础设施，实施可信数据空间发展行动计划。</w:t>
      </w:r>
    </w:p>
    <w:p w14:paraId="38006D80">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75" w:name="_Toc4001"/>
      <w:r>
        <w:rPr>
          <w:rFonts w:hint="default" w:ascii="Times New Roman" w:hAnsi="Times New Roman" w:eastAsia="黑体" w:cs="Times New Roman"/>
          <w:color w:val="000000"/>
          <w:sz w:val="32"/>
          <w:lang w:val="en-US" w:eastAsia="zh-CN"/>
        </w:rPr>
        <w:t>第十三章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全方位推进数智技术赋能</w:t>
      </w:r>
      <w:bookmarkEnd w:id="75"/>
    </w:p>
    <w:p w14:paraId="2485380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全面实施“人工智能+”行动，加强人工智能同科技创新、产业发展、文化建设、民生保障、社会治理相结合，抢占人工智能产业应用制高点，全方位赋能千行百业。</w:t>
      </w:r>
    </w:p>
    <w:p w14:paraId="62CF4B11">
      <w:pPr>
        <w:ind w:firstLine="640" w:firstLineChars="200"/>
        <w:outlineLvl w:val="0"/>
        <w:rPr>
          <w:rFonts w:hint="default" w:ascii="楷体_GB2312" w:hAnsi="楷体_GB2312" w:eastAsia="楷体_GB2312" w:cs="楷体_GB2312"/>
          <w:lang w:val="en-US" w:eastAsia="zh-CN"/>
        </w:rPr>
      </w:pPr>
      <w:bookmarkStart w:id="76" w:name="_Toc23655"/>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促进实体经济和数字经济深度融合</w:t>
      </w:r>
      <w:bookmarkEnd w:id="76"/>
    </w:p>
    <w:p w14:paraId="48C4DFB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壮大数字经济核心产业，发展新一代通信技术、云计算、区块链等产业，提升高端芯片、光电子器件、基础软件和工业软件等产业水平，打造具有国际竞争力的数字产业集群。推进国家人工智能创新高地建设，培育智能原生新模式新业态，建设国家人工智能应用中试基地。促进制造业“智改数转网联”，实施智能制造工程和工业互联网创新发展工程，一体推进网络、标识、平台、数据、安全体系建设和规模化应用。推进服务业数智化，发展智慧农业。建设数智化转型促进网络，健全中小企业数智赋能服务体系。推进开源体系建设，完善开源运行机制。</w:t>
      </w:r>
    </w:p>
    <w:p w14:paraId="3C10CE49">
      <w:pPr>
        <w:ind w:firstLine="640" w:firstLineChars="200"/>
        <w:outlineLvl w:val="0"/>
        <w:rPr>
          <w:rFonts w:hint="default" w:ascii="楷体_GB2312" w:hAnsi="楷体_GB2312" w:eastAsia="楷体_GB2312" w:cs="楷体_GB2312"/>
          <w:lang w:val="en-US" w:eastAsia="zh-CN"/>
        </w:rPr>
      </w:pPr>
      <w:bookmarkStart w:id="77" w:name="_Toc24052"/>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创造美好数智生活</w:t>
      </w:r>
      <w:bookmarkEnd w:id="77"/>
    </w:p>
    <w:p w14:paraId="6FDD406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充分发挥数智技术和数据要素对丰富人民生活、改善民生福祉的作用，拓展教育、医疗、养老、文旅、就业、消费等领域融合应用。丰富智能家居、智慧出行和智慧社区场景，发展智能终端产品和服务，构建数智便民服务圈。促进人工智能助力教育模式变革，有序推动数智技术在辅助诊疗、精准医疗、健康管理、医保服务、养老助残等场景的应用。深入实施全民数字素养与技能提升行动，强化人工智能的就业创造效应。积极探索运用数智技术提高基层医疗服务能力、促进教育公平，助力基本公共服务均等化。</w:t>
      </w:r>
    </w:p>
    <w:p w14:paraId="6D74E678">
      <w:pPr>
        <w:ind w:firstLine="640" w:firstLineChars="200"/>
        <w:outlineLvl w:val="0"/>
        <w:rPr>
          <w:rFonts w:hint="default" w:ascii="楷体_GB2312" w:hAnsi="楷体_GB2312" w:eastAsia="楷体_GB2312" w:cs="楷体_GB2312"/>
          <w:lang w:val="en-US" w:eastAsia="zh-CN"/>
        </w:rPr>
      </w:pPr>
      <w:bookmarkStart w:id="78" w:name="_Toc13281"/>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提高政府治理数智化水平</w:t>
      </w:r>
      <w:bookmarkEnd w:id="78"/>
    </w:p>
    <w:p w14:paraId="07A937F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数智技术全流程应用，发展泛在可及、智慧便捷、公平普惠的数智化政务服务。完善覆盖全国的一体化在线政务服务平台，强化数据“一表通”和公共应用支撑体系建设，推进政务数据跨部门跨层级跨地区共享利用。安全稳妥有序推进政务领域人工智能大模型部署应用，探索构建精准识别需求、主动规划服务、全程智能办理的服务新模式。深化人工智能赋能安全治理，提升感知预警、指挥决策、精准管理和即时响应能力。</w:t>
      </w:r>
    </w:p>
    <w:p w14:paraId="0B81C9AC">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79" w:name="_Toc11216"/>
      <w:r>
        <w:rPr>
          <w:rFonts w:hint="default" w:ascii="Times New Roman" w:hAnsi="Times New Roman" w:eastAsia="黑体" w:cs="Times New Roman"/>
          <w:color w:val="000000"/>
          <w:sz w:val="32"/>
          <w:lang w:val="en-US" w:eastAsia="zh-CN"/>
        </w:rPr>
        <w:t>第十四章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营造健康有序的发展生态</w:t>
      </w:r>
      <w:bookmarkEnd w:id="79"/>
    </w:p>
    <w:p w14:paraId="37D20F8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坚持促进发展和规范管理相统筹，加强数据基础制度规则建设和人工智能治理，营造有益、安全、公平的发展环境。</w:t>
      </w:r>
    </w:p>
    <w:p w14:paraId="5BD676AC">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健全数据要素基础制度</w:t>
      </w:r>
    </w:p>
    <w:p w14:paraId="551AF39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建立健全数据产权、流通利用、收益分配、安全治理等数据要素基础制度。完善数据产权结构性分置制度，构建全国统一的数据产权登记体系。建设开放共享安全的全国一体化数据市场，加快完善数据流通交易规则和标准，优化数据交易机构布局，规范发展第三方专业服务机构。建立数据要素价格形成机制，探索兼顾各方利益的数据收益分配机制。完善数据领域法律法规，健全数据采集、存储、流通、使用管理规则。实施数据分类分级管理，提升数据安全保护能力。</w:t>
      </w:r>
    </w:p>
    <w:p w14:paraId="52275B6C">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完善科学有效监管机制</w:t>
      </w:r>
    </w:p>
    <w:p w14:paraId="1B4924D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新技术新业态安全监管框架，构建技术标准研制调整、技术应用分级管理机制，推进多元协同共治。完善人工智能领域法律法规、政策制度、应用规范、伦理准则，健全算法备案、透明度管理、安全评估等制度，探索建立人工智能生成物权利归属和开发者经营者使用者权责认定规则。推动建立人工智能全生命周期风险管理制度，健全覆盖安全监测、风险预警、应急响应的风险防控体系。推动平台经济创新和健康发展，加强平台企业数据、算法、流量和规则监管，促进平台企业和平台内经营者、劳动者共赢发展。依法打击数据滥用、深度伪造、泄露隐私等行为。</w:t>
      </w:r>
    </w:p>
    <w:p w14:paraId="553A9196">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拓展数智领域国际合作</w:t>
      </w:r>
    </w:p>
    <w:p w14:paraId="1725964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构建全球数字合作伙伴关系网络，深化电子商务、数字支付、智慧城市等领域合作，探索建设离岸算力设施、数据跨境流动服务基础设施。积极参与人工智能、数字货币、数据跨境流动等领域国际治理，在数据安全、隐私保护、跨境执法协作等方面达成更多共识，加强国际司法协调和规则互认。推动建立各国广泛参与的人工智能治理框架，共同构建平权、互信、多元、共赢的全球人工智能开放生态，支持全球南方国家加强人工智能能力建设。</w:t>
      </w:r>
    </w:p>
    <w:p w14:paraId="0D9ED011">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80" w:name="_Toc31379"/>
      <w:r>
        <w:rPr>
          <w:rFonts w:hint="default" w:ascii="方正小标宋简体" w:hAnsi="方正小标宋简体" w:eastAsia="方正小标宋简体" w:cs="方正小标宋简体"/>
          <w:sz w:val="40"/>
          <w:szCs w:val="40"/>
          <w:lang w:val="en-US" w:eastAsia="zh-CN"/>
        </w:rPr>
        <w:t>第五篇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建设强大国内市场</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加快构建新发展格局</w:t>
      </w:r>
      <w:bookmarkEnd w:id="80"/>
    </w:p>
    <w:p w14:paraId="4790739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扩大内需这个战略基点，坚持惠民生和促消费、投资于物和投资于人紧密结合，以新需求引领新供给，以新供给创造新需求，促进消费和投资、供给和需求良性互动，实现供需更高水平动态平衡，增强国内大循环内生动力和可靠性。</w:t>
      </w:r>
    </w:p>
    <w:p w14:paraId="45916F21">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81" w:name="_Toc16264"/>
      <w:r>
        <w:rPr>
          <w:rFonts w:hint="default" w:ascii="Times New Roman" w:hAnsi="Times New Roman" w:eastAsia="黑体" w:cs="Times New Roman"/>
          <w:color w:val="000000"/>
          <w:sz w:val="32"/>
          <w:lang w:val="en-US" w:eastAsia="zh-CN"/>
        </w:rPr>
        <w:t>第十五章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大力提振消费</w:t>
      </w:r>
      <w:bookmarkEnd w:id="81"/>
    </w:p>
    <w:p w14:paraId="63DF798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深入实施提振消费专项行动，增强居民消费能力，改善消费意愿，适应不同群体消费需求扩大优质供给，促进全社会商品和服务消费较快增长。</w:t>
      </w:r>
    </w:p>
    <w:p w14:paraId="1A8E765B">
      <w:pPr>
        <w:ind w:firstLine="640" w:firstLineChars="200"/>
        <w:outlineLvl w:val="0"/>
        <w:rPr>
          <w:rFonts w:hint="default" w:ascii="楷体_GB2312" w:hAnsi="楷体_GB2312" w:eastAsia="楷体_GB2312" w:cs="楷体_GB2312"/>
          <w:lang w:val="en-US" w:eastAsia="zh-CN"/>
        </w:rPr>
      </w:pPr>
      <w:bookmarkStart w:id="82" w:name="_Toc7710"/>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夯实居民消费基础</w:t>
      </w:r>
      <w:bookmarkEnd w:id="82"/>
    </w:p>
    <w:p w14:paraId="048AB87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促就业、增收入、稳预期，加快形成扩大居民消费长效机制。稳定和扩大就业容量，支持企业稳岗扩岗、个人创业就业，积极培育新职业新岗位，拓展数字经济、绿色经济、银发经济等就业新空间。大力促进城乡居民增收，稳步提高最低工资标准，持续改善小微企业和个体工商户经营环境，促进楼市股市健康发展。织密扎牢社会保障网，鼓励支持灵活就业人员、新就业形态人员参加职工保险，规范完善与人均消费支出挂钩的低保标准动态调整机制，增加政府资金用于民生保障支出。</w:t>
      </w:r>
    </w:p>
    <w:p w14:paraId="77EF52EC">
      <w:pPr>
        <w:ind w:firstLine="640" w:firstLineChars="200"/>
        <w:outlineLvl w:val="0"/>
        <w:rPr>
          <w:rFonts w:hint="default" w:ascii="楷体_GB2312" w:hAnsi="楷体_GB2312" w:eastAsia="楷体_GB2312" w:cs="楷体_GB2312"/>
          <w:lang w:val="en-US" w:eastAsia="zh-CN"/>
        </w:rPr>
      </w:pPr>
      <w:bookmarkStart w:id="83" w:name="_Toc30318"/>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释放服务消费潜力</w:t>
      </w:r>
      <w:bookmarkEnd w:id="83"/>
    </w:p>
    <w:p w14:paraId="2794156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放宽准入、业态融合为重点扩大服务消费，培育服务消费新增长点。提升生活服务消费便利化水平，发展社区嵌入式服务和一刻钟便民生活圈，推进传统商圈焕新，优化养老、托育、家政等领域服务消费体验。提高发展型消费比重，适应多样化个性化服务需求，规范发展教育和培训消费，培育壮大健康消费，积极引进国际优质服务资源。激发改善型消费活力，扩大文体旅游消费，优化营业性演出、体育赛事审批管理，实施冰雪旅游提升计划，发展邮轮游艇、房车露营等休闲消费，积极拓展低空消费。深化商旅文体健融合，打造一批沉浸式互动式消费新场景。</w:t>
      </w:r>
    </w:p>
    <w:p w14:paraId="445FC79B">
      <w:pPr>
        <w:ind w:firstLine="640" w:firstLineChars="200"/>
        <w:outlineLvl w:val="0"/>
        <w:rPr>
          <w:rFonts w:hint="default" w:ascii="楷体_GB2312" w:hAnsi="楷体_GB2312" w:eastAsia="楷体_GB2312" w:cs="楷体_GB2312"/>
          <w:lang w:val="en-US" w:eastAsia="zh-CN"/>
        </w:rPr>
      </w:pPr>
      <w:bookmarkStart w:id="84" w:name="_Toc23540"/>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推动商品消费扩容升级</w:t>
      </w:r>
      <w:bookmarkEnd w:id="84"/>
    </w:p>
    <w:p w14:paraId="0858B48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品牌引领、标准升级、新技术应用，稳定大宗消费，促进消费品更新换代，满足多层次消费品需求。因城施策优化房地产政策，多管齐下稳定预期，充分释放刚性和改善性住房需求潜力，支持老旧房屋适老化改造和智能化升级。深化汽车消费从购买管理向使用管理转变，完善充换电、停车场等基础设施，拓展汽车改装、租赁等后市场消费。支持汽车、电子产品、家电家具等回收体系建设，规范二手商品流通秩序。实施数字消费提升行动，推动智能新产品应用，制定智能家居互联互通标准，推广柔性化定制化消费品生产模式。发展绿色消费，积极推广绿色低碳产品。培育中高端消费新增长点，推动老字号、国货潮牌做精做强，发展周边衍生品消费，积极推进首发经济。</w:t>
      </w:r>
    </w:p>
    <w:p w14:paraId="162A623D">
      <w:pPr>
        <w:ind w:firstLine="640" w:firstLineChars="200"/>
        <w:outlineLvl w:val="0"/>
        <w:rPr>
          <w:rFonts w:hint="default" w:ascii="楷体_GB2312" w:hAnsi="楷体_GB2312" w:eastAsia="楷体_GB2312" w:cs="楷体_GB2312"/>
          <w:lang w:val="en-US" w:eastAsia="zh-CN"/>
        </w:rPr>
      </w:pPr>
      <w:bookmarkStart w:id="85" w:name="_Toc16364"/>
      <w:r>
        <w:rPr>
          <w:rFonts w:hint="default" w:ascii="楷体_GB2312" w:hAnsi="楷体_GB2312" w:eastAsia="楷体_GB2312" w:cs="楷体_GB2312"/>
          <w:lang w:val="en-US" w:eastAsia="zh-CN"/>
        </w:rPr>
        <w:t>第四节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持续改善消费环境</w:t>
      </w:r>
      <w:bookmarkEnd w:id="85"/>
    </w:p>
    <w:p w14:paraId="363127D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促进消费制度机制，清理消费领域不合理限制性措施，建立健全适应消费新业态新模式新场景管理机制。加大直达消费者的普惠政策力度，扩大消费领域金融供给，打造一批带动面广、显示度高的消费新场景。优化入境消费环境，推广离境退税商店，培育国际消费中心城市，推进“购在中国”。落实职工带薪休假制度，鼓励弹性错峰休假，探索推行中小学生春秋假。强化消费者权益保护，畅通消费者投诉和维权渠道，规范网络销售、直播带货等经营活动，健全预付式消费监管模式。加强全口径消费统计，优化服务消费、消费新业态新模式统计监测。</w:t>
      </w:r>
    </w:p>
    <w:p w14:paraId="644527D6">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86" w:name="_Toc30358"/>
      <w:r>
        <w:rPr>
          <w:rFonts w:hint="default" w:ascii="Times New Roman" w:hAnsi="Times New Roman" w:eastAsia="黑体" w:cs="Times New Roman"/>
          <w:color w:val="000000"/>
          <w:sz w:val="32"/>
          <w:lang w:val="en-US" w:eastAsia="zh-CN"/>
        </w:rPr>
        <w:t>第十六章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扩大有效投资</w:t>
      </w:r>
      <w:bookmarkEnd w:id="86"/>
    </w:p>
    <w:p w14:paraId="3B3B6F0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加快构建有效投资内生增长机制，保持投资合理增长，提高投资综合效益，更好发挥投资对支撑国家战略、优化供给结构、满足民生需求的作用。</w:t>
      </w:r>
    </w:p>
    <w:p w14:paraId="2617052B">
      <w:pPr>
        <w:ind w:firstLine="640" w:firstLineChars="200"/>
        <w:outlineLvl w:val="0"/>
        <w:rPr>
          <w:rFonts w:hint="default" w:ascii="楷体_GB2312" w:hAnsi="楷体_GB2312" w:eastAsia="楷体_GB2312" w:cs="楷体_GB2312"/>
          <w:lang w:val="en-US" w:eastAsia="zh-CN"/>
        </w:rPr>
      </w:pPr>
      <w:bookmarkStart w:id="87" w:name="_Toc2646"/>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提高政府投资效益</w:t>
      </w:r>
      <w:bookmarkEnd w:id="87"/>
    </w:p>
    <w:p w14:paraId="560313B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聚焦惠民生、补短板、增动能，优化政府投资结构。统筹“硬投资”和“软建设”，高质量推进国家重大战略实施和重点领域安全能力项目建设，实施一批重大标志性工程项目。加强人力资源开发和人的全面发展投资，在“一老一小”服务、基层医疗卫生、普通高中和优质高等教育扩容、职业技能培训等领域实施一批民生工程，提高民生类政府投资比重。适应人口结构变化和流动趋势，完善基础设施和公共服务设施布局。适应新质生产力发展要求，积极支持新型基础设施和无形资产投资。加强政府投资全过程管理，强化战略规划引领、项目谋划储备论证和事中事后监管，避免过度超前建设和低效无效投资。进一步明确中央和地方投资方向和重点，统筹用好各类政府投资，在工作基础较好的地方探索编制全口径政府投资计划。优化地方政府专项债券管理，完善“自审自发”机制，提高用于项目建设比重并单列。发挥新型政策性金融工具作用。深化投资审批制度改革，优化政府投资项目审批权限，修订政府核准投资项目目录，提升投资审批服务效能。</w:t>
      </w:r>
    </w:p>
    <w:p w14:paraId="1B9FE344">
      <w:pPr>
        <w:ind w:firstLine="640" w:firstLineChars="200"/>
        <w:outlineLvl w:val="0"/>
        <w:rPr>
          <w:rFonts w:hint="default" w:ascii="楷体_GB2312" w:hAnsi="楷体_GB2312" w:eastAsia="楷体_GB2312" w:cs="楷体_GB2312"/>
          <w:lang w:val="en-US" w:eastAsia="zh-CN"/>
        </w:rPr>
      </w:pPr>
      <w:bookmarkStart w:id="88" w:name="_Toc18832"/>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激发民间投资活力</w:t>
      </w:r>
      <w:bookmarkEnd w:id="88"/>
    </w:p>
    <w:p w14:paraId="1A1AFAF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平等对待、保护权益、政策协同，增强市场主导的有效投资增长动力，提高民间投资比重。完善民营企业参与重大项目建设长效机制，鼓励支持民营企业参与铁路、核电、水电、供水等领域项目建设，推动具备条件的项目进一步提高民营企业持股比例。鼓励民营企业加大科技创新和产业升级投资力度，推动新兴领域应用场景向民营企业开放。依法保障民营企业投资运营合法权益，平等保障用地、融资等要素需求。发挥政府投资基金引导带动作用，加强布局规划和投向指导评价，健全“投融管退”机制。</w:t>
      </w:r>
    </w:p>
    <w:p w14:paraId="20B4E714">
      <w:pPr>
        <w:ind w:firstLine="640" w:firstLineChars="200"/>
        <w:outlineLvl w:val="0"/>
        <w:rPr>
          <w:rFonts w:hint="default" w:ascii="楷体_GB2312" w:hAnsi="楷体_GB2312" w:eastAsia="楷体_GB2312" w:cs="楷体_GB2312"/>
          <w:lang w:val="en-US" w:eastAsia="zh-CN"/>
        </w:rPr>
      </w:pPr>
      <w:bookmarkStart w:id="89" w:name="_Toc30564"/>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促进投资消费良性循环</w:t>
      </w:r>
      <w:bookmarkEnd w:id="89"/>
    </w:p>
    <w:p w14:paraId="1D1B889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聚焦投资消费结合点，以有效投资带动消费能力和意愿提升，以消费升级牵引投资方向优化，强化扩内需政策综合效应。支持就业增收带动能力强的行业扩大投资，鼓励消费基础设施和消费服务功能提升类设施建设，加大对健康养老、体育健身、休闲娱乐等领域消费场景建设和设施提档升级的投资力度。因地制宜推动交通枢纽、产业集聚区等拓展消费功能。推动县域商业提质增效，加强物流仓储、农村寄递等设施补短板。</w:t>
      </w:r>
    </w:p>
    <w:p w14:paraId="084A7845">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90" w:name="_Toc23186"/>
      <w:r>
        <w:rPr>
          <w:rFonts w:hint="default" w:ascii="Times New Roman" w:hAnsi="Times New Roman" w:eastAsia="黑体" w:cs="Times New Roman"/>
          <w:color w:val="000000"/>
          <w:sz w:val="32"/>
          <w:lang w:val="en-US" w:eastAsia="zh-CN"/>
        </w:rPr>
        <w:t>第十七章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纵深推进全国统一大市场建设</w:t>
      </w:r>
      <w:bookmarkEnd w:id="90"/>
    </w:p>
    <w:p w14:paraId="4FFD3E7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坚决破除阻碍全国统一大市场建设卡点堵点，破除地方保护和市场分割，促进商品要素资源在更大范围内顺畅流动。</w:t>
      </w:r>
    </w:p>
    <w:p w14:paraId="7F08CEC7">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完善全国统一大市场基础制度规则</w:t>
      </w:r>
    </w:p>
    <w:p w14:paraId="7F77598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进适应全国统一大市场要求的产权保护、市场准入、信息披露、社会信用、兼并重组、市场退出等制度建设。依法平等长久保护各种所有制经济产权，对侵犯各种所有制经济产权和合法利益的行为实行同责同罪同罚。加强知识产权保护和运用，制定重点领域商业秘密保护规则指引。完善市场准入制度，动态修订市场准入负面清单，严格落实“全国一张清单”管理要求。完善企业质量、安全、环境等信息披露制度规则。强化全国信用信息共享平台功能，深入推进信用信息归集共享和信用应用拓展，完善守信激励、失信惩戒和信用修复机制。健全企业破产制度，探索建立覆盖所有经营主体的简易退出机制。完善有利于统一大市场建设的统计、财税、考核制度，推广经营主体活动发生地统计，优化企业总部和分支机构、生产地和消费地利益分享。制定全国统一大市场建设条例。</w:t>
      </w:r>
    </w:p>
    <w:p w14:paraId="66E3F168">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维护公平竞争市场秩序</w:t>
      </w:r>
    </w:p>
    <w:p w14:paraId="109C03D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动市场监管规则完善、基准统一、能力提升，形成优质优价、良性竞争的市场秩序。制定重点领域公平竞争合规指引，强化公平竞争审查刚性约束，消除要素获取、资质认定、招标投标、政府采购等方面壁垒。规范地方政府经济促进行为，制定地方政府招商引资鼓励和禁止事项清单，加强招商引资信息披露。完善妨碍建设全国统一大市场事项清单动态更新和通报问责制度。强化反垄断和反不正当竞争执法司法，制定重点领域反垄断指南指引。完善协调统一的国家标准体系，扩大强制性国家标准覆盖面，推进新兴产业标准建设，提升标准国际化水平。推进检验检测认证资源共享、资质互认和结果通用。统一市场监管执法，完善行政裁量权基准制度，推进行政处罚和刑事处罚双向衔接。完善行政复议体制机制。健全综合执法体制机制，优化监管事项层级设置，提高基层执法效能。</w:t>
      </w:r>
    </w:p>
    <w:p w14:paraId="7743713F">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促进市场设施高标准联通</w:t>
      </w:r>
    </w:p>
    <w:p w14:paraId="1BAA322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进流通物流、市场信息、交易平台等设施互联互通和规则衔接。健全高效顺畅的现代流通体系，完善国家物流枢纽网络，依托现代流通战略支点城市构建若干重要商品骨干流通走廊，支持有条件的地区建设大宗商品资源配置枢纽，健全一体衔接的流通规则和标准，降低全社会物流成本。加强多式联运设施、标准建设和信息共享，大力推进“一单制”、“一箱制”发展，促进集装箱和大宗物资铁水联运。完善市场信息交互渠道，推动构建全链条信息信任和应用机制。建立健全统一规范、信息共享的招标投标和政府、事业单位、国有企业采购等公共资源交易平台体系，推进人工智能应用和大数据监管，实现项目全流程公开管理。</w:t>
      </w:r>
    </w:p>
    <w:p w14:paraId="2D90F43F">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91" w:name="_Toc7547"/>
      <w:r>
        <w:rPr>
          <w:rFonts w:hint="default" w:ascii="方正小标宋简体" w:hAnsi="方正小标宋简体" w:eastAsia="方正小标宋简体" w:cs="方正小标宋简体"/>
          <w:sz w:val="40"/>
          <w:szCs w:val="40"/>
          <w:lang w:val="en-US" w:eastAsia="zh-CN"/>
        </w:rPr>
        <w:t>第六篇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加快构建高水平社会主义市场经济体制</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增强高质量发展动力</w:t>
      </w:r>
      <w:bookmarkEnd w:id="91"/>
    </w:p>
    <w:p w14:paraId="56F09C8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和完善社会主义基本经济制度，更好发挥经济体制改革牵引作用，建设高标准市场体系，提升宏观经济治理效能，促进资源配置效率最优化和效益最大化，激发全社会内生动力和创新活力，确保高质量发展行稳致远。</w:t>
      </w:r>
    </w:p>
    <w:p w14:paraId="733AE6A0">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92" w:name="_Toc14360"/>
      <w:r>
        <w:rPr>
          <w:rFonts w:hint="default" w:ascii="Times New Roman" w:hAnsi="Times New Roman" w:eastAsia="黑体" w:cs="Times New Roman"/>
          <w:color w:val="000000"/>
          <w:sz w:val="32"/>
          <w:lang w:val="en-US" w:eastAsia="zh-CN"/>
        </w:rPr>
        <w:t>第十八章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充分激发各类经营主体活力</w:t>
      </w:r>
      <w:bookmarkEnd w:id="92"/>
    </w:p>
    <w:p w14:paraId="4CA37FB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坚持和落实“两个毫不动摇”，促进各种所有制经济优势互补、共同发展。</w:t>
      </w:r>
    </w:p>
    <w:p w14:paraId="4F7F4A87">
      <w:pPr>
        <w:ind w:firstLine="640" w:firstLineChars="200"/>
        <w:outlineLvl w:val="0"/>
        <w:rPr>
          <w:rFonts w:hint="default" w:ascii="楷体_GB2312" w:hAnsi="楷体_GB2312" w:eastAsia="楷体_GB2312" w:cs="楷体_GB2312"/>
          <w:lang w:val="en-US" w:eastAsia="zh-CN"/>
        </w:rPr>
      </w:pPr>
      <w:bookmarkStart w:id="93" w:name="_Toc1062"/>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深化国资国企改革</w:t>
      </w:r>
      <w:bookmarkEnd w:id="93"/>
    </w:p>
    <w:p w14:paraId="136F8C7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做强做优做大国有企业和国有资本，增强国有企业核心功能、提升核心竞争力。制定实施国有经济布局优化和结构调整指引目录，推动国有资本向关系国家安全、国民经济命脉的重要行业和关键领域集中，向关系国计民生的公共服务、应急能力、公益性领域等集中，向前瞻性战略性新兴产业集中，加强战略性重组和专业化整合。深化国有企业分类改革，进一步明晰不同类型国有企业功能定位，加强主责主业管理，建立国有企业履行战略使命评价制度，构建分类考核的治理体制。推动国有企业完善市场化经营机制，提升价值创造能力。健全国有企业推进原始创新制度安排。完善国资监管体制，更好发挥国有资本投资、运营公司作用。健全国有经济和国有企业增加值核算制度。支持国有企业和民营企业以市场化方式规范开展股权合作、战略协作、资源整合。</w:t>
      </w:r>
    </w:p>
    <w:p w14:paraId="2448C469">
      <w:pPr>
        <w:ind w:firstLine="640" w:firstLineChars="200"/>
        <w:outlineLvl w:val="0"/>
        <w:rPr>
          <w:rFonts w:hint="default" w:ascii="楷体_GB2312" w:hAnsi="楷体_GB2312" w:eastAsia="楷体_GB2312" w:cs="楷体_GB2312"/>
          <w:lang w:val="en-US" w:eastAsia="zh-CN"/>
        </w:rPr>
      </w:pPr>
      <w:bookmarkStart w:id="94" w:name="_Toc14971"/>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发展壮大民营经济</w:t>
      </w:r>
      <w:bookmarkEnd w:id="94"/>
    </w:p>
    <w:p w14:paraId="2A06FF4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落实民营经济促进法，完善配套法规政策制度体系，从法律和制度上保障平等使用生产要素、公平参与市场竞争、有效保护合法权益。持续推进基础设施竞争性领域向民营企业公平开放。支持有能力的民营企业牵头承担国家重大技术攻关任务，推进国家重大科研基础设施和公共研发平台进一步向民营企业开放。完善民营企业融资支持政策，发挥全国一体化融资信用服务平台网络作用，健全信用状况综合评价体系和增信制度。支持中小企业和个体工商户发展，推动大中小企业协同融通发展。创新发展“晋江经验”，健全民营经济发展综合服务体系，完善政企常态化沟通交流和问题解决机制。引导民营企业完善治理结构和管理制度，促进民营经济健康发展和民营经济人士健康成长。健全民营经济统计监测制度。</w:t>
      </w:r>
    </w:p>
    <w:p w14:paraId="381A3CE4">
      <w:pPr>
        <w:ind w:firstLine="640" w:firstLineChars="200"/>
        <w:outlineLvl w:val="0"/>
        <w:rPr>
          <w:rFonts w:hint="default" w:ascii="楷体_GB2312" w:hAnsi="楷体_GB2312" w:eastAsia="楷体_GB2312" w:cs="楷体_GB2312"/>
          <w:lang w:val="en-US" w:eastAsia="zh-CN"/>
        </w:rPr>
      </w:pPr>
      <w:bookmarkStart w:id="95" w:name="_Toc15729"/>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积极营造一流营商环境</w:t>
      </w:r>
      <w:bookmarkEnd w:id="95"/>
    </w:p>
    <w:p w14:paraId="6916D4A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持续推进营商环境改进提升，打造市场化、法治化、国际化一流营商环境。完善为企服务体系，健全“高效办成一件事”重点事项清单管理和常态化推进机制，推行惠企政策全程网办、直达快享，推广信用承诺制。深化注册资本认缴登记制度改革，持续精简涉企经营许可事项。健全规范涉企执法长效机制，防止和纠正违规异地执法、趋利性执法，推进“综合查一次”等联合执法方式。强化产权执法司法保护，加强对查封、扣押、冻结等强制措施的司法监督。建立健全清理拖欠企业账款长效机制，畅通政府违约失信投诉渠道。完善中国特色现代企业制度，弘扬企业家精神，加快建设更多世界一流企业。</w:t>
      </w:r>
    </w:p>
    <w:p w14:paraId="14D9B31F">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96" w:name="_Toc8802"/>
      <w:r>
        <w:rPr>
          <w:rFonts w:hint="default" w:ascii="Times New Roman" w:hAnsi="Times New Roman" w:eastAsia="黑体" w:cs="Times New Roman"/>
          <w:color w:val="000000"/>
          <w:sz w:val="32"/>
          <w:lang w:val="en-US" w:eastAsia="zh-CN"/>
        </w:rPr>
        <w:t>第十九章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加快完善要素市场化配置体制机制</w:t>
      </w:r>
      <w:bookmarkEnd w:id="96"/>
    </w:p>
    <w:p w14:paraId="3A61505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深化要素市场化改革，畅通要素有序流动渠道，统筹增量优化和存量盘活，促进各类要素资源高效配置。</w:t>
      </w:r>
    </w:p>
    <w:p w14:paraId="3BCBCAE3">
      <w:pPr>
        <w:ind w:firstLine="640" w:firstLineChars="200"/>
        <w:outlineLvl w:val="0"/>
        <w:rPr>
          <w:rFonts w:hint="default" w:ascii="楷体_GB2312" w:hAnsi="楷体_GB2312" w:eastAsia="楷体_GB2312" w:cs="楷体_GB2312"/>
          <w:lang w:val="en-US" w:eastAsia="zh-CN"/>
        </w:rPr>
      </w:pPr>
      <w:bookmarkStart w:id="97" w:name="_Toc19203"/>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健全要素市场制度和规则</w:t>
      </w:r>
      <w:bookmarkEnd w:id="97"/>
    </w:p>
    <w:p w14:paraId="1E03C64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要素市场体系，扩大要素市场化配置范围。深化土地制度改革，建立健全城乡统一的建设用地市场。健全投资和融资相协调的资本市场功能，优化发行上市、信息披露、并购重组、退市等基础制度，提高上市公司质量，建立增强内在稳定性长效机制。畅通劳动力和人才社会性流动渠道，逐步打破户籍、社保、职称、档案等方面制度性障碍。培育全国一体化技术市场和数据市场。深化拓展要素市场化配置综合改革试点，加快形成一批可复制可推广的制度成果。</w:t>
      </w:r>
    </w:p>
    <w:p w14:paraId="77DB6AA1">
      <w:pPr>
        <w:ind w:firstLine="640" w:firstLineChars="200"/>
        <w:outlineLvl w:val="0"/>
        <w:rPr>
          <w:rFonts w:hint="default" w:ascii="楷体_GB2312" w:hAnsi="楷体_GB2312" w:eastAsia="楷体_GB2312" w:cs="楷体_GB2312"/>
          <w:lang w:val="en-US" w:eastAsia="zh-CN"/>
        </w:rPr>
      </w:pPr>
      <w:bookmarkStart w:id="98" w:name="_Toc10223"/>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完善资源要素价格形成机制</w:t>
      </w:r>
      <w:bookmarkEnd w:id="98"/>
    </w:p>
    <w:p w14:paraId="38487C1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主要由市场供求关系决定价格机制，加强和改进价格治理。加快健全适应新型能源体系的价格机制，分品种、有节奏推进各类电源上网电价市场化改革，完善成品油定价机制，深化天然气价格改革，完善煤炭价格区间调控政策，加强网络型自然垄断环节价格监管。深化水利工程供水价格改革。健全促进可持续发展的公用事业价格机制，优化居民阶梯水价、电价、气价制度。深化公共服务价格改革，完善养老等服务收费政策。探索构建新型生产要素价格形成机制。</w:t>
      </w:r>
    </w:p>
    <w:p w14:paraId="74A3FDAD">
      <w:pPr>
        <w:ind w:firstLine="640" w:firstLineChars="200"/>
        <w:outlineLvl w:val="0"/>
        <w:rPr>
          <w:rFonts w:hint="default" w:ascii="楷体_GB2312" w:hAnsi="楷体_GB2312" w:eastAsia="楷体_GB2312" w:cs="楷体_GB2312"/>
          <w:lang w:val="en-US" w:eastAsia="zh-CN"/>
        </w:rPr>
      </w:pPr>
      <w:bookmarkStart w:id="99" w:name="_Toc13615"/>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盘活利用存量资源</w:t>
      </w:r>
      <w:bookmarkEnd w:id="99"/>
    </w:p>
    <w:p w14:paraId="79A5EFD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并购、破产、置换等政策，盘活用好低效用地、闲置房产、存量基础设施。编制宏观资产负债表，全面摸清存量资源资产底数，优化资产负债结构。深化扩大低效用地再开发试点，完善促进盘活存量用地的规划管控、土地供应和税费政策，加快发展建设用地二级市场。推进土地混合开发、空间复合利用和土地用途依法合理转换，完善工商业用地使用权续期法律法规，依法稳妥推进续期工作。推进全国行政事业单位存量国有资产盘活共享，健全产业园区存量盘活和高质量发展机制，完善资产估值等配套政策，引入社会力量提升盘活利用效率，规范市场化运作流程。推动司法判决执行与破产制度有机衔接，依法有效盘活被查封冻结财产。积极推动基础设施领域不动产投资信托基金（REITs）常态化推荐发行。</w:t>
      </w:r>
    </w:p>
    <w:p w14:paraId="2CD4AA76">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00" w:name="_Toc26649"/>
      <w:r>
        <w:rPr>
          <w:rFonts w:hint="default" w:ascii="Times New Roman" w:hAnsi="Times New Roman" w:eastAsia="黑体" w:cs="Times New Roman"/>
          <w:color w:val="000000"/>
          <w:sz w:val="32"/>
          <w:lang w:val="en-US" w:eastAsia="zh-CN"/>
        </w:rPr>
        <w:t>第二十章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健全宏观经济治理体系</w:t>
      </w:r>
      <w:bookmarkEnd w:id="100"/>
    </w:p>
    <w:p w14:paraId="5663B79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提高宏观调控和政府治理水平，促进形成更多由内需主导、消费拉动、内生增长的经济发展模式。</w:t>
      </w:r>
    </w:p>
    <w:p w14:paraId="4951B55D">
      <w:pPr>
        <w:ind w:firstLine="640" w:firstLineChars="200"/>
        <w:outlineLvl w:val="0"/>
        <w:rPr>
          <w:rFonts w:hint="default" w:ascii="楷体_GB2312" w:hAnsi="楷体_GB2312" w:eastAsia="楷体_GB2312" w:cs="楷体_GB2312"/>
          <w:lang w:val="en-US" w:eastAsia="zh-CN"/>
        </w:rPr>
      </w:pPr>
      <w:bookmarkStart w:id="101" w:name="_Toc11082"/>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完善宏观调控制度体系</w:t>
      </w:r>
      <w:bookmarkEnd w:id="101"/>
    </w:p>
    <w:p w14:paraId="796E897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国家发展规划战略导向作用，加强财政、货币政策协同，发挥好产业、价格、就业、消费、投资、贸易、区域、环保、监管等政策作用，增强宏观政策取向一致性和有效性。强化逆周期和跨周期调节，实施更加积极的宏观政策，合理确定政府债务规模，保持流动性充裕，持续稳增长、稳就业、稳预期。完善宏观调控目标体系，统筹短期目标和中长期目标、总量平衡和结构调整，强化年度计划与国家发展规划衔接。健全预期管理机制，将预期管理纳入宏观经济治理全过程。加强经济监测预测预警，充实完善政策工具箱，科学把握政策力度和出台时机，强化政策实施效果评价。探索实行国家宏观资产负债表管理。优化高质量发展综合绩效考核。</w:t>
      </w:r>
    </w:p>
    <w:p w14:paraId="633E25AF">
      <w:pPr>
        <w:ind w:firstLine="640" w:firstLineChars="200"/>
        <w:outlineLvl w:val="0"/>
        <w:rPr>
          <w:rFonts w:hint="default" w:ascii="楷体_GB2312" w:hAnsi="楷体_GB2312" w:eastAsia="楷体_GB2312" w:cs="楷体_GB2312"/>
          <w:lang w:val="en-US" w:eastAsia="zh-CN"/>
        </w:rPr>
      </w:pPr>
      <w:bookmarkStart w:id="102" w:name="_Toc18964"/>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健全现代财政制度</w:t>
      </w:r>
      <w:bookmarkEnd w:id="102"/>
    </w:p>
    <w:p w14:paraId="50945DF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财税体制改革，发挥积极财政政策作用，加强财政科学管理，增强财政可持续性。强化对预算编制和财政政策的宏观指导，发挥中期财政规划跨年度预算平衡作用，强化国家重大战略任务和基本民生财力保障。加强财政资源和预算统筹，加大政府性基金预算、国有资本经营预算与一般公共预算统筹力度，完善国有资本经营预算制度，合理提高国有资本收益收取比例，把依托行政权力、政府信用、国有资源资产获取的收入全部纳入政府预算管理。优化财政支出结构，合理提高公共服务支出占财政支出比重。深化零基预算改革，统一预算分配权，健全支出标准体系和动态调整机制，加强预算绩效管理和执行监督。优化税制结构，健全有利于高质量发展、社会公平、市场统一的税收制度，保持合理的宏观税负水平。提高直接税比重，完善综合和分类相结合的个人所得税制度，逐步扩大综合征收范围，健全经营所得、资本所得、财产所得税收政策。完善增值税留抵退税政策和抵扣链条，优化共享税分享比例。研究同新业态相适应的税收制度。健全地方税体系，推进消费税征收环节后移并稳步下划地方，增加地方自主财力。适当加强中央事权、提高中央财政支出比重，减少委托地方代行的中央财政事权。完善财政转移支付体系，优化财政转移支付结构。全面落实税收法定原则，规范税收优惠政策，加强财会监督。加快构建同高质量发展相适应的政府债务管理长效机制。</w:t>
      </w:r>
    </w:p>
    <w:p w14:paraId="3E694AE4">
      <w:pPr>
        <w:ind w:firstLine="640" w:firstLineChars="200"/>
        <w:outlineLvl w:val="0"/>
        <w:rPr>
          <w:rFonts w:hint="default" w:ascii="楷体_GB2312" w:hAnsi="楷体_GB2312" w:eastAsia="楷体_GB2312" w:cs="楷体_GB2312"/>
          <w:lang w:val="en-US" w:eastAsia="zh-CN"/>
        </w:rPr>
      </w:pPr>
      <w:bookmarkStart w:id="103" w:name="_Toc19"/>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加快建设金融强国</w:t>
      </w:r>
      <w:bookmarkEnd w:id="103"/>
    </w:p>
    <w:p w14:paraId="02A61AA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防风险、强监管、促高质量发展，加快建设中国特色现代金融体系。完善中央银行制度，构建科学稳健的货币政策体系，完善基础货币投放机制，健全市场化利率形成、调控和传导机制，保持社会融资规模、货币供应量增长同经济增长、价格总水平预期目标相匹配。建立覆盖全面的宏观审慎管理体系，将更多金融活动、金融市场等纳入宏观审慎政策框架。增强人民币汇率弹性，保持在合理均衡水平上基本稳定。提升金融服务实体经济质效，大力发展科技金融、绿色金融、普惠金融、养老金融、数字金融，加强对重大战略、重点领域和薄弱环节的优质金融服务。完善结构性货币政策工具体系。持续深化资本市场投融资综合改革，增强资本市场制度包容性、适应性，提高直接融资比重。发展多元股权融资，加快多层次债券市场建设，稳步发展期货、衍生品和资产证券化，加强交易监管和投资者保护。壮大耐心资本，完善支持中长期资金入市政策体系。优化金融机构体系，推动各类金融机构专注主业、完善治理、错位发展，支持国有大型金融机构提升综合服务水平，严格中小金融机构准入标准和监管要求，培育一流投资银行和投资机构。建设安全高效的金融基础设施。稳步发展数字人民币。加快建设上海国际金融中心。全面加强金融监管，构建风险防范化解体系，保障金融稳健运行。</w:t>
      </w:r>
    </w:p>
    <w:p w14:paraId="4D3C1D83">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104" w:name="_Toc1204"/>
      <w:r>
        <w:rPr>
          <w:rFonts w:hint="default" w:ascii="方正小标宋简体" w:hAnsi="方正小标宋简体" w:eastAsia="方正小标宋简体" w:cs="方正小标宋简体"/>
          <w:sz w:val="40"/>
          <w:szCs w:val="40"/>
          <w:lang w:val="en-US" w:eastAsia="zh-CN"/>
        </w:rPr>
        <w:t>第七篇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扩大高水平对外开放</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开创合作共赢新局面</w:t>
      </w:r>
      <w:bookmarkEnd w:id="104"/>
      <w:r>
        <w:rPr>
          <w:rFonts w:hint="eastAsia" w:ascii="方正小标宋简体" w:hAnsi="方正小标宋简体" w:eastAsia="方正小标宋简体" w:cs="方正小标宋简体"/>
          <w:sz w:val="40"/>
          <w:szCs w:val="40"/>
          <w:lang w:val="en-US" w:eastAsia="zh-CN"/>
        </w:rPr>
        <w:t xml:space="preserve"> </w:t>
      </w:r>
    </w:p>
    <w:p w14:paraId="562D3BF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开放合作、互利共赢，稳步扩大制度型开放，建设更高水平开放型经济新体制，推动共建“一带一路”高质量发展，拓展国际循环，以开放促改革促发展，倡导平等有序的世界多极化、普惠包容的经济全球化，与世界各国共享机遇、共同发展。</w:t>
      </w:r>
    </w:p>
    <w:p w14:paraId="50E2FD1A">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05" w:name="_Toc10730"/>
      <w:r>
        <w:rPr>
          <w:rFonts w:hint="default" w:ascii="Times New Roman" w:hAnsi="Times New Roman" w:eastAsia="黑体" w:cs="Times New Roman"/>
          <w:color w:val="000000"/>
          <w:sz w:val="32"/>
          <w:lang w:val="en-US" w:eastAsia="zh-CN"/>
        </w:rPr>
        <w:t>第二十一章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积极扩大自主开放</w:t>
      </w:r>
      <w:bookmarkEnd w:id="105"/>
    </w:p>
    <w:p w14:paraId="051688A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对接国际高标准经贸规则扩大开放，促进国内国际规则、规制、管理、标准相通相容，营造透明稳定可预期的制度环境。</w:t>
      </w:r>
    </w:p>
    <w:p w14:paraId="146C61AC">
      <w:pPr>
        <w:ind w:firstLine="640" w:firstLineChars="200"/>
        <w:outlineLvl w:val="0"/>
        <w:rPr>
          <w:rFonts w:hint="default" w:ascii="楷体_GB2312" w:hAnsi="楷体_GB2312" w:eastAsia="楷体_GB2312" w:cs="楷体_GB2312"/>
          <w:lang w:val="en-US" w:eastAsia="zh-CN"/>
        </w:rPr>
      </w:pPr>
      <w:bookmarkStart w:id="106" w:name="_Toc27692"/>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有序扩大开放领域和区域</w:t>
      </w:r>
      <w:bookmarkEnd w:id="106"/>
    </w:p>
    <w:p w14:paraId="62C00AA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服务业为重点扩大市场准入和开放领域，实施更大范围、更宽领域、更深层次开放。推动电信、互联网、教育、文化、医疗等领域有序扩大开放，稳妥实施增值电信、生物技术、外商独资医院等开放试点，推进服务业扩大开放综合试点示范。缩减外资准入负面清单，加强负面清单修订与开放试点联动。稳慎拓展金融市场互联互通，优化合格境外投资者制度，扩大可投资品种范围，有序推进符合条件的企业跨境双向直接融资，支持股权投资基金跨境投资。推进数据高效便利安全跨境流动。优化签证和停居留政策，提升境外人员入境数字化服务便利性。推进人民币国际化，拓展人民币在国际贸易和投融资中的使用，提升资本项目开放水平，建设自主可控的人民币跨境支付体系，发展人民币离岸市场。在有条件的领域率先实施高标准经贸协定开放举措，对最不发达国家和合作潜力大的经贸伙伴，扩大单边开放领域和区域。</w:t>
      </w:r>
    </w:p>
    <w:p w14:paraId="0ECBEADD">
      <w:pPr>
        <w:ind w:firstLine="640" w:firstLineChars="200"/>
        <w:outlineLvl w:val="0"/>
        <w:rPr>
          <w:rFonts w:hint="default" w:ascii="楷体_GB2312" w:hAnsi="楷体_GB2312" w:eastAsia="楷体_GB2312" w:cs="楷体_GB2312"/>
          <w:lang w:val="en-US" w:eastAsia="zh-CN"/>
        </w:rPr>
      </w:pPr>
      <w:bookmarkStart w:id="107" w:name="_Toc28198"/>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构建与高标准经贸规则相衔接的制度和监管体系</w:t>
      </w:r>
      <w:bookmarkEnd w:id="107"/>
    </w:p>
    <w:p w14:paraId="47C37F8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进高水平开放和深层次改革高效联动，加快推动重点领域立法修法、政策调整和标准修订。健全与国际规则相衔接的知识产权保护机制，探索扩大商标保护范围，优化版权保护机制，拓展知识产权纠纷解决渠道。推动重点产品能效、水效、碳足迹等规则标准国际互认，推进企业气候信息、环境信息依法披露与自愿披露。探索完善适合我国国情、符合国际惯例的劳动保护机制。加快政府采购制度改革，全面落实公平竞争原则。率先试行世界贸易组织电子商务协定、投资便利化协定，提高跨境支付结算效率和单证电子化标准化水平。</w:t>
      </w:r>
    </w:p>
    <w:p w14:paraId="1B5F9282">
      <w:pPr>
        <w:ind w:firstLine="640" w:firstLineChars="200"/>
        <w:outlineLvl w:val="0"/>
        <w:rPr>
          <w:rFonts w:hint="default" w:ascii="楷体_GB2312" w:hAnsi="楷体_GB2312" w:eastAsia="楷体_GB2312" w:cs="楷体_GB2312"/>
          <w:lang w:val="en-US" w:eastAsia="zh-CN"/>
        </w:rPr>
      </w:pPr>
      <w:bookmarkStart w:id="108" w:name="_Toc12964"/>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优化区域开放布局</w:t>
      </w:r>
      <w:bookmarkEnd w:id="108"/>
    </w:p>
    <w:p w14:paraId="149C8A1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打造形态多样的开放高地，加快形成陆海内外联动、东西双向互济的全面开放格局。高标准建设海南自由贸易港，高水平实施全岛封关运作，持续提升贸易投资和要素流动等重点领域开放水平，逐步构建与高水平自由贸易港相适应的政策制度体系。实施自由贸易试验区提升战略，开展更大力度制度型开放试验，提升创新引领发展能级。统筹布局建设科技创新、服务贸易、产业发展等重大开放合作平台，支持功能相近、区位相邻的平台优化整合，推动国家级新区、开发区管理制度和运营模式创新，促进综合保税区转型升级，推进沿边重点开发开放试验区、产业协作园区、沿边临港产业园区和边（跨）境经济合作区等建设。</w:t>
      </w:r>
    </w:p>
    <w:p w14:paraId="5E6A6BE6">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09" w:name="_Toc22486"/>
      <w:r>
        <w:rPr>
          <w:rFonts w:hint="default" w:ascii="Times New Roman" w:hAnsi="Times New Roman" w:eastAsia="黑体" w:cs="Times New Roman"/>
          <w:color w:val="000000"/>
          <w:sz w:val="32"/>
          <w:lang w:val="en-US" w:eastAsia="zh-CN"/>
        </w:rPr>
        <w:t>第二十二章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提升贸易投资合作质量和水平</w:t>
      </w:r>
      <w:bookmarkEnd w:id="109"/>
    </w:p>
    <w:p w14:paraId="57D899E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强化进口和出口协调、货物和服务并重，统筹吸引外资和境外投资，塑造国际贸易和双向投资合作新优势。</w:t>
      </w:r>
    </w:p>
    <w:p w14:paraId="03BE5E09">
      <w:pPr>
        <w:ind w:firstLine="640" w:firstLineChars="200"/>
        <w:outlineLvl w:val="0"/>
        <w:rPr>
          <w:rFonts w:hint="default" w:ascii="楷体_GB2312" w:hAnsi="楷体_GB2312" w:eastAsia="楷体_GB2312" w:cs="楷体_GB2312"/>
          <w:lang w:val="en-US" w:eastAsia="zh-CN"/>
        </w:rPr>
      </w:pPr>
      <w:bookmarkStart w:id="110" w:name="_Toc23146"/>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推动贸易创新发展</w:t>
      </w:r>
      <w:bookmarkEnd w:id="110"/>
    </w:p>
    <w:p w14:paraId="030BBEC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快建设贸易强国，促进外贸提质增效，推动进出口平衡发展。优化升级货物贸易，推动市场多元化，拓展中间品贸易，促进加工贸易提档升级。大力发展服务贸易，完善跨境服务贸易负面清单管理制度，放宽跨境交付、自然人移动等跨境服务限制，鼓励服务出口，增强运输、旅行等服务国际竞争力，发展知识密集型服务贸易，积极发展服务外包，提升服务贸易标准化水平。合理调整进口关税税率，修订鼓励进口技术、产品和服务目录，扩大国内急需的先进技术设备、优质农产品、生产性服务等进口。创新发展数字贸易、绿色贸易，有序扩大数字领域开放。支持跨境电商等新业态新模式发展，优化海外仓布局和功能，完善保税维修和再制造、新型离岸贸易等政策环境。推进通关、税务、外汇等监管创新，推动外贸产品标准与合格评定、检验检疫国际合作。提升贸易促进平台功能，加大出口信贷和信用保险支持，持续办好进博会、广交会、服贸会等重大展会。推动内外贸一体化发展，深化内外贸标准认证改革。强化贸易风险防控和摩擦应对，丰富贸易调整援助、贸易救济等政策工具，完善出口管制体系。</w:t>
      </w:r>
    </w:p>
    <w:p w14:paraId="6F8BAEB5">
      <w:pPr>
        <w:ind w:firstLine="640" w:firstLineChars="200"/>
        <w:outlineLvl w:val="0"/>
        <w:rPr>
          <w:rFonts w:hint="default" w:ascii="楷体_GB2312" w:hAnsi="楷体_GB2312" w:eastAsia="楷体_GB2312" w:cs="楷体_GB2312"/>
          <w:lang w:val="en-US" w:eastAsia="zh-CN"/>
        </w:rPr>
      </w:pPr>
      <w:bookmarkStart w:id="111" w:name="_Toc23970"/>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更大力度吸引和利用外资</w:t>
      </w:r>
      <w:bookmarkEnd w:id="111"/>
    </w:p>
    <w:p w14:paraId="04C77DB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持续优化外商投资环境，健全外商投资服务保障体系，塑造吸引外资新优势。全面落实外资企业国民待遇，清理与外商投资法不符的文件法规，落实好“准入又准营”。发挥标志性外资项目示范效应，引导外资更多投向先进制造、现代服务、高新技术、节能环保等领域，支持参与产业链上下游配套协作，大力吸引外资企业在华设立地区总部、研发中心。促进外资境内再投资。精心打造“投资中国”品牌。拓展利用外资方式，完善外资并购管理，拓宽外资投资证券市场渠道。高质量实施外商投资安全审查。完善全口径外债监管体系。健全外商投资统计、信息报告制度，加强信息共享。</w:t>
      </w:r>
    </w:p>
    <w:p w14:paraId="7437FF72">
      <w:pPr>
        <w:ind w:firstLine="640" w:firstLineChars="200"/>
        <w:outlineLvl w:val="0"/>
        <w:rPr>
          <w:rFonts w:hint="default" w:ascii="楷体_GB2312" w:hAnsi="楷体_GB2312" w:eastAsia="楷体_GB2312" w:cs="楷体_GB2312"/>
          <w:lang w:val="en-US" w:eastAsia="zh-CN"/>
        </w:rPr>
      </w:pPr>
      <w:bookmarkStart w:id="112" w:name="_Toc20178"/>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促进国际产业与投资合作</w:t>
      </w:r>
      <w:bookmarkEnd w:id="112"/>
    </w:p>
    <w:p w14:paraId="555AC8E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有效实施对外投资管理，健全海外综合服务体系，促进贸易投资一体化，引导产业链供应链合理有序跨境布局。进一步引导和规范企业境外投资方向，支持有条件的企业开展互利共赢的境外投资合作，鼓励互联网平台、人工智能等新兴产业企业拓展海外应用场景。支持咨询评估、法律服务、会计审计、信用评级、调解仲裁等专业服务机构拓展海外服务网络，健全涉外知识产权保护体系。加强我国公民、法人海外合法利益保护，建立诉求响应和保护救济制度，健全海外利益保护体系。发挥境外经贸合作区作用，促进与境内园区协同发展。加强境外投资安全审查。健全境外投资风险监测、防控、处置机制和法律法规，推动企业提升风险防控和合规经营能力。</w:t>
      </w:r>
    </w:p>
    <w:p w14:paraId="0CD6AA2A">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13" w:name="_Toc30638"/>
      <w:r>
        <w:rPr>
          <w:rFonts w:hint="default" w:ascii="Times New Roman" w:hAnsi="Times New Roman" w:eastAsia="黑体" w:cs="Times New Roman"/>
          <w:color w:val="000000"/>
          <w:sz w:val="32"/>
          <w:lang w:val="en-US" w:eastAsia="zh-CN"/>
        </w:rPr>
        <w:t>第二十三章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高质量共建“一带一路”</w:t>
      </w:r>
      <w:bookmarkEnd w:id="113"/>
    </w:p>
    <w:p w14:paraId="23709EF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坚持共商共建共享、开放绿色廉洁、高标准惠民生可持续的指导原则，完善推进高质量共建“一带一路”机制，深化基础设施“硬联通”、规则标准“软联通”、同共建国家人民“心联通”。</w:t>
      </w:r>
    </w:p>
    <w:p w14:paraId="7CA0AB1C">
      <w:pPr>
        <w:ind w:firstLine="640" w:firstLineChars="200"/>
        <w:outlineLvl w:val="0"/>
        <w:rPr>
          <w:rFonts w:hint="default" w:ascii="楷体_GB2312" w:hAnsi="楷体_GB2312" w:eastAsia="楷体_GB2312" w:cs="楷体_GB2312"/>
          <w:lang w:val="en-US" w:eastAsia="zh-CN"/>
        </w:rPr>
      </w:pPr>
      <w:bookmarkStart w:id="114" w:name="_Toc260"/>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深化发展战略对接</w:t>
      </w:r>
      <w:bookmarkEnd w:id="114"/>
    </w:p>
    <w:p w14:paraId="0A2ADFC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强与共建国家、国际组织政策沟通和战略对接，强化合作规划统筹管理，加强实施协调和评估优化。发挥“一带一路”国际合作高峰论坛引领作用，强化能源、税收、减贫、智库、媒体等领域合作平台建设。深化与共建国家治国理政经验交流，增进企业家、专家学者、青年等群体交流。统筹多双边合作，创新“一带一路”合作模式，巩固已有合作成果，拓展共赢发展空间。</w:t>
      </w:r>
    </w:p>
    <w:p w14:paraId="6BB2E5DC">
      <w:pPr>
        <w:ind w:firstLine="640" w:firstLineChars="200"/>
        <w:outlineLvl w:val="0"/>
        <w:rPr>
          <w:rFonts w:hint="default" w:ascii="楷体_GB2312" w:hAnsi="楷体_GB2312" w:eastAsia="楷体_GB2312" w:cs="楷体_GB2312"/>
          <w:lang w:val="en-US" w:eastAsia="zh-CN"/>
        </w:rPr>
      </w:pPr>
      <w:bookmarkStart w:id="115" w:name="_Toc11697"/>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完善立体互联互通网络布局</w:t>
      </w:r>
      <w:bookmarkEnd w:id="115"/>
    </w:p>
    <w:p w14:paraId="3C12A88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重要经济走廊和支点港口合作，畅通陆海天网多元通道。提升中欧（亚）班列发展水平，积极参与跨里海国际运输走廊建设。高质量建设中吉乌铁路、匈塞铁路等项目。推进“丝路海运”港航贸一体化发展，推动空中丝绸之路建设提质增效，加强空间信息走廊建设合作。积极推进中国标准海外应用。深入推进新疆、福建“一带一路”核心区建设。</w:t>
      </w:r>
    </w:p>
    <w:p w14:paraId="4D284708">
      <w:pPr>
        <w:ind w:firstLine="640" w:firstLineChars="200"/>
        <w:outlineLvl w:val="0"/>
        <w:rPr>
          <w:rFonts w:hint="default" w:ascii="楷体_GB2312" w:hAnsi="楷体_GB2312" w:eastAsia="楷体_GB2312" w:cs="楷体_GB2312"/>
          <w:lang w:val="en-US" w:eastAsia="zh-CN"/>
        </w:rPr>
      </w:pPr>
      <w:bookmarkStart w:id="116" w:name="_Toc4168"/>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全面提升务实合作质效</w:t>
      </w:r>
      <w:bookmarkEnd w:id="116"/>
    </w:p>
    <w:p w14:paraId="6786241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持续扩大与共建国家贸易投资合作，高标准建设“丝路电商”合作先行区。拓展绿色发展、人工智能、数字经济、卫生健康、旅游、农业、气象、北斗应用等领域合作新空间。统筹推进重大标志性工程和“小而美”民生项目建设。完善多元化、可持续、风险可控的投融资体系，积极支持亚洲基础设施投资银行、新开发银行、丝路基金等发挥作用。拓展与共建国家文化、教育、考古、体育等领域人文交流渠道，高质量实施“一带一路”科技创新行动计划。提升风险防控能力，深入推进廉洁丝绸之路建设，推动共建“一带一路”更有序、更规范、更安全、更可持续地高质量发展。</w:t>
      </w:r>
    </w:p>
    <w:p w14:paraId="21B8E526">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17" w:name="_Toc9883"/>
      <w:r>
        <w:rPr>
          <w:rFonts w:hint="default" w:ascii="Times New Roman" w:hAnsi="Times New Roman" w:eastAsia="黑体" w:cs="Times New Roman"/>
          <w:color w:val="000000"/>
          <w:sz w:val="32"/>
          <w:lang w:val="en-US" w:eastAsia="zh-CN"/>
        </w:rPr>
        <w:t>第二十四章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推动构建人类命运共同体</w:t>
      </w:r>
      <w:bookmarkEnd w:id="117"/>
    </w:p>
    <w:p w14:paraId="64F88C9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落实全球发展倡议、全球安全倡议、全球文明倡议、全球治理倡议，积极推进中国特色大国外交，为构建人类命运共同体作出中国贡献。</w:t>
      </w:r>
    </w:p>
    <w:p w14:paraId="2A757584">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积极参与和引领全球经济治理</w:t>
      </w:r>
    </w:p>
    <w:p w14:paraId="3CF8E9E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进全球经济金融治理改革，推动构建和维护公平公正、开放包容、合作共赢的国际经济秩序。维护以世界贸易组织为核心的多边贸易体制，全面深入参与世界贸易组织改革，坚决反对保护主义、滥施关税等做法。扩大面向全球的高标准自由贸易区网络，高质量实施区域全面经济伙伴关系协定并推动扩员和审议进程，推动中国—东盟自贸区3.0版落地实施，积极推动加入全面与进步跨太平洋伙伴关系协定、数字经济伙伴关系协定，推动商签更多区域和双边贸易投资协定。积极提出人工智能、数字经济、绿色低碳、外层空间等新兴领域国际规则的中国方案。强化国际宏观经济政策协调，推动二十国集团发挥国际经济合作主要论坛作用，推动扩大金砖国家、上海合作组织等合作机制影响力，积极参与亚太经合组织合作、推进亚太自由贸易区建设。</w:t>
      </w:r>
    </w:p>
    <w:p w14:paraId="02C88108">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推动构建新型国际关系</w:t>
      </w:r>
    </w:p>
    <w:p w14:paraId="49EF8FA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倡导践行真正的多边主义，坚定维护以联合国为核心的国际体系、以国际法为基础的国际秩序、以联合国宪章宗旨和原则为基础的国际关系基本准则，拓展全球伙伴关系网络，引领国际秩序朝着更加公正合理的方向发展。深化周边发展融合，强化共同安全，巩固战略互信，构建周边命运共同体。促进大国协调和良性互动，维护大国关系总体稳定。深化同发展中国家团结合作，支持全球南方联合自强。打造多层级多领域文明对话交流机制和平台，共同构建全球文明对话合作网络。弘扬全人类共同价值，推动建设持久和平、普遍安全、共同繁荣、开放包容、清洁美丽的世界。</w:t>
      </w:r>
    </w:p>
    <w:p w14:paraId="34B1122C">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提供更多国际公共产品</w:t>
      </w:r>
    </w:p>
    <w:p w14:paraId="7A978F4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发挥负责任大国作用，在应对全球气候变化、跨国犯罪、网络安全、重大传染性疾病、恐怖主义等全球性问题上发挥更多积极作用。坚决反对霸权霸道霸凌行径，捍卫国际公平正义，维护各国人民共同利益。积极参与全球安全规则制定，建设性参与国际和地区热点问题政治解决，加强粮食、能源、数据、生物、陆海通道、反恐怖等领域安全国际合作，推动完善全球安全治理。促进全球减贫合作，加强援外体系建设和全链条管理，加大援外力度。落实联合国2030年可持续发展议程。</w:t>
      </w:r>
    </w:p>
    <w:p w14:paraId="5450BCF5">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118" w:name="_Toc394"/>
      <w:r>
        <w:rPr>
          <w:rFonts w:hint="default" w:ascii="方正小标宋简体" w:hAnsi="方正小标宋简体" w:eastAsia="方正小标宋简体" w:cs="方正小标宋简体"/>
          <w:sz w:val="40"/>
          <w:szCs w:val="40"/>
          <w:lang w:val="en-US" w:eastAsia="zh-CN"/>
        </w:rPr>
        <w:t>第八篇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加快农业农村现代化</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扎实推进乡村全面振兴</w:t>
      </w:r>
      <w:bookmarkEnd w:id="118"/>
    </w:p>
    <w:p w14:paraId="2CFC573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坚持农业农村优先发展，坚持城乡融合发展，健全推动乡村全面振兴长效机制，大力发展现代农业，推动农村基本具备现代生活条件，持续巩固拓展脱贫攻坚成果，缩小城乡发展差距，加快建设农业强国。</w:t>
      </w:r>
    </w:p>
    <w:p w14:paraId="371CEFC5">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19" w:name="_Toc20088"/>
      <w:r>
        <w:rPr>
          <w:rFonts w:hint="default" w:ascii="Times New Roman" w:hAnsi="Times New Roman" w:eastAsia="黑体" w:cs="Times New Roman"/>
          <w:color w:val="000000"/>
          <w:sz w:val="32"/>
          <w:lang w:val="en-US" w:eastAsia="zh-CN"/>
        </w:rPr>
        <w:t>第二十五章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提升农业综合生产能力和质量效益</w:t>
      </w:r>
      <w:bookmarkEnd w:id="119"/>
    </w:p>
    <w:p w14:paraId="3DD0756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坚持产量产能、生产生态、增产增收一起抓，推进产需衔接、结构优化、品质提升，提高农业劳动生产率和科技进步贡献率。</w:t>
      </w:r>
    </w:p>
    <w:p w14:paraId="22006811">
      <w:pPr>
        <w:ind w:firstLine="640" w:firstLineChars="200"/>
        <w:outlineLvl w:val="0"/>
        <w:rPr>
          <w:rFonts w:hint="default" w:ascii="楷体_GB2312" w:hAnsi="楷体_GB2312" w:eastAsia="楷体_GB2312" w:cs="楷体_GB2312"/>
          <w:lang w:val="en-US" w:eastAsia="zh-CN"/>
        </w:rPr>
      </w:pPr>
      <w:bookmarkStart w:id="120" w:name="_Toc26670"/>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加强粮食等重要农产品供给保障</w:t>
      </w:r>
      <w:bookmarkEnd w:id="120"/>
    </w:p>
    <w:p w14:paraId="5679797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实施藏粮于地、藏粮于技战略，加力实施新一轮千亿斤粮食产能提升行动，稳定稻谷、小麦生产，提升玉米、大豆产能，推进粮油等主要作物大面积单产提升。适应供需形势变化，优化农业生产结构，稳定发展棉油糖胶等重要农产品和“菜篮子”产品生产，发展特色农业。健全耕地数量、质量、生态“三位一体”保护制度体系，严格占补平衡管理，完善补充耕地质量验收机制，统筹农用地布局优化。高质量推进高标准农田建设和管护，完善农田灌排体系，加强黑土地保护和酸化耕地治理，稳步推进盐碱地综合利用。增强农业防灾减灾能力。开展新一轮农业资源区划工作。</w:t>
      </w:r>
    </w:p>
    <w:p w14:paraId="207215B7">
      <w:pPr>
        <w:ind w:firstLine="640" w:firstLineChars="200"/>
        <w:outlineLvl w:val="0"/>
        <w:rPr>
          <w:rFonts w:hint="default" w:ascii="楷体_GB2312" w:hAnsi="楷体_GB2312" w:eastAsia="楷体_GB2312" w:cs="楷体_GB2312"/>
          <w:lang w:val="en-US" w:eastAsia="zh-CN"/>
        </w:rPr>
      </w:pPr>
      <w:bookmarkStart w:id="121" w:name="_Toc3195"/>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强化农业科技和装备支撑</w:t>
      </w:r>
      <w:bookmarkEnd w:id="121"/>
    </w:p>
    <w:p w14:paraId="2D1F322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发展科技农业、绿色农业、质量农业、品牌农业，把农业建成现代化大产业。深入实施种业振兴行动，加强种质资源保护利用，健全商业化育种体系，强化育种联合攻关，培育高产优质、抗逆广适新品种，提升种源安全保障水平。实施农机装备高质量发展行动，促进良田良种良机良法集成增效，农作物耕种收综合机械化率提高到80%以上。围绕核心种源、农机装备、农业节水等加强关键核心技术攻关，构建梯次分明、分工协作、适度竞争的农业科技创新体系，培育农业科技领军企业。健全公益性和经营性相结合的农业科技推广体系。积极推广地理标志产品和品牌。</w:t>
      </w:r>
    </w:p>
    <w:p w14:paraId="381061B0">
      <w:pPr>
        <w:ind w:firstLine="640" w:firstLineChars="200"/>
        <w:outlineLvl w:val="0"/>
        <w:rPr>
          <w:rFonts w:hint="default" w:ascii="楷体_GB2312" w:hAnsi="楷体_GB2312" w:eastAsia="楷体_GB2312" w:cs="楷体_GB2312"/>
          <w:lang w:val="en-US" w:eastAsia="zh-CN"/>
        </w:rPr>
      </w:pPr>
      <w:bookmarkStart w:id="122" w:name="_Toc12918"/>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构建多元化食物供给体系</w:t>
      </w:r>
      <w:bookmarkEnd w:id="122"/>
    </w:p>
    <w:p w14:paraId="3BE7E9D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农林牧渔并举，全方位多途径开发食物资源。加强生猪产能综合调控，推进肉牛肉羊、奶牛产业提质增效，加快草原畜牧业转型升级。加快发展饲草产业，扩大青贮饲料生产。发展现代设施农业，推进节能宜机高效设施种植和集约化养殖。科学开发江河湖海和森林食物资源，发展高质量水产养殖，稳步扩大木本粮油生产，发展林下经济，壮大林草产业，提升机械化水平。积极发展合成生物技术，拓展新型蛋白来源。</w:t>
      </w:r>
    </w:p>
    <w:p w14:paraId="79DE4DF6">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23" w:name="_Toc4692"/>
      <w:r>
        <w:rPr>
          <w:rFonts w:hint="default" w:ascii="Times New Roman" w:hAnsi="Times New Roman" w:eastAsia="黑体" w:cs="Times New Roman"/>
          <w:color w:val="000000"/>
          <w:sz w:val="32"/>
          <w:lang w:val="en-US" w:eastAsia="zh-CN"/>
        </w:rPr>
        <w:t>第二十六章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推进宜居宜业和美乡村建设</w:t>
      </w:r>
      <w:bookmarkEnd w:id="123"/>
    </w:p>
    <w:p w14:paraId="168F80F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学习运用“千万工程”经验，分类有序、片区化推进乡村振兴，深入实施乡村建设行动，逐步提高农村基础设施完备度、公共服务便利度、人居环境舒适度。</w:t>
      </w:r>
    </w:p>
    <w:p w14:paraId="54619C46">
      <w:pPr>
        <w:ind w:firstLine="640" w:firstLineChars="200"/>
        <w:outlineLvl w:val="0"/>
        <w:rPr>
          <w:rFonts w:hint="default" w:ascii="楷体_GB2312" w:hAnsi="楷体_GB2312" w:eastAsia="楷体_GB2312" w:cs="楷体_GB2312"/>
          <w:lang w:val="en-US" w:eastAsia="zh-CN"/>
        </w:rPr>
      </w:pPr>
      <w:bookmarkStart w:id="124" w:name="_Toc7673"/>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创造乡村优质生活空间</w:t>
      </w:r>
      <w:bookmarkEnd w:id="124"/>
    </w:p>
    <w:p w14:paraId="3FA0585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县域为单元科学规划基础设施和公共服务布局，推动县域基础设施一体化规划建设管护。统筹优化村镇布局，引导人口、产业适度集聚，因地制宜完善乡村建设实施机制，合理安排建设重点和时序。协同推进县域国土空间治理，稳步开展全域土地综合整治，分类保障乡村发展用地。扎实推进农村道路、供水、污水治理、能源、物流、信息等设施建设和维护。持续推进农村危房改造。改善县域普通高中和寄宿制学校办学条件，以医护人员下沉为重点推进紧密型县域医共体建设，健全县乡村三级养老服务网络，支持面向边远地区农村提供形式灵活的基本公共服务，统筹利用农村存量设施资源。持续整治提升农村人居环境，以钉钉子精神解决好农村改厕、垃圾围村等问题。</w:t>
      </w:r>
    </w:p>
    <w:p w14:paraId="7BCAA81F">
      <w:pPr>
        <w:ind w:firstLine="640" w:firstLineChars="200"/>
        <w:outlineLvl w:val="0"/>
        <w:rPr>
          <w:rFonts w:hint="default" w:ascii="楷体_GB2312" w:hAnsi="楷体_GB2312" w:eastAsia="楷体_GB2312" w:cs="楷体_GB2312"/>
          <w:lang w:val="en-US" w:eastAsia="zh-CN"/>
        </w:rPr>
      </w:pPr>
      <w:bookmarkStart w:id="125" w:name="_Toc22334"/>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发展县域富民产业</w:t>
      </w:r>
      <w:bookmarkEnd w:id="125"/>
    </w:p>
    <w:p w14:paraId="720CB04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发展各具特色的县域经济，推动农村一二三产业深度融合，因地制宜培育农业强县、工业大县、旅游名县，推动兴业、强县、富民一体发展。推进农产品加工业转型升级，加强农产品市场和流通网络建设，健全仓储保鲜和冷链物流体系。开发农业多种功能，培育壮大乡村特色产业和乡村休闲旅游、文化体验、农村电商等新产业新业态。规范发展农民合作社，培育农业产业化龙头企业，完善联农带农机制，推动新型农业经营主体扶持政策同带动农户增收挂钩，促进农民稳定增收。</w:t>
      </w:r>
    </w:p>
    <w:p w14:paraId="51E367FE">
      <w:pPr>
        <w:ind w:firstLine="640" w:firstLineChars="200"/>
        <w:outlineLvl w:val="0"/>
        <w:rPr>
          <w:rFonts w:hint="default" w:ascii="楷体_GB2312" w:hAnsi="楷体_GB2312" w:eastAsia="楷体_GB2312" w:cs="楷体_GB2312"/>
          <w:lang w:val="en-US" w:eastAsia="zh-CN"/>
        </w:rPr>
      </w:pPr>
      <w:bookmarkStart w:id="126" w:name="_Toc15620"/>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加强和改进乡村治理</w:t>
      </w:r>
      <w:bookmarkEnd w:id="126"/>
    </w:p>
    <w:p w14:paraId="679663F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推进抓党建促乡村全面振兴，健全县乡村三级治理体系，选优配强村“两委”班子特别是带头人队伍，优化驻村第一书记和工作队选派管理机制。推进村民自治组织规范化建设，完善村务公开和民主议事制度，支持农民群众多渠道参与村级议事协商。加强新时代农村精神文明建设，繁荣发展乡村文化，实施文明乡风建设工程。持续整治农村高额彩礼。保护传承乡村文化遗产，加强乡土建筑和传统村落保护，赓续农耕文明。</w:t>
      </w:r>
    </w:p>
    <w:p w14:paraId="6CCA6AE1">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27" w:name="_Toc9315"/>
      <w:r>
        <w:rPr>
          <w:rFonts w:hint="default" w:ascii="Times New Roman" w:hAnsi="Times New Roman" w:eastAsia="黑体" w:cs="Times New Roman"/>
          <w:color w:val="000000"/>
          <w:sz w:val="32"/>
          <w:lang w:val="en-US" w:eastAsia="zh-CN"/>
        </w:rPr>
        <w:t>第二十七章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提高强农惠农富农政策效能</w:t>
      </w:r>
      <w:bookmarkEnd w:id="127"/>
    </w:p>
    <w:p w14:paraId="63B891C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健全农业农村优先发展的体制机制和政策体系，推动城乡要素双向流动，增强农业农村发展活力。</w:t>
      </w:r>
    </w:p>
    <w:p w14:paraId="767FFB04">
      <w:pPr>
        <w:ind w:firstLine="640" w:firstLineChars="200"/>
        <w:outlineLvl w:val="0"/>
        <w:rPr>
          <w:rFonts w:hint="default" w:ascii="楷体_GB2312" w:hAnsi="楷体_GB2312" w:eastAsia="楷体_GB2312" w:cs="楷体_GB2312"/>
          <w:lang w:val="en-US" w:eastAsia="zh-CN"/>
        </w:rPr>
      </w:pPr>
      <w:bookmarkStart w:id="128" w:name="_Toc31711"/>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加强农业农村投入保障</w:t>
      </w:r>
      <w:bookmarkEnd w:id="128"/>
    </w:p>
    <w:p w14:paraId="743CFB1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财政优先保障、金融重点倾斜、社会积极参与的多元投入格局，确保乡村振兴投入力度不断增强。优先保障农业农村领域一般公共预算投入，提升财政支农政策效能和资金效益。健全种粮农民收益保障机制，强化价格、补贴、保险等政策支持和协同，保护和调动农民务农种粮积极性。加大粮食主产区利益补偿力度，实施产销区省际横向利益补偿，完善产粮大县奖补制度。健全适合农业农村特点的金融服务体系，发展多层次农业保险，支持发展特色农产品保险。</w:t>
      </w:r>
    </w:p>
    <w:p w14:paraId="2F3498EF">
      <w:pPr>
        <w:ind w:firstLine="640" w:firstLineChars="200"/>
        <w:outlineLvl w:val="0"/>
        <w:rPr>
          <w:rFonts w:hint="default" w:ascii="楷体_GB2312" w:hAnsi="楷体_GB2312" w:eastAsia="楷体_GB2312" w:cs="楷体_GB2312"/>
          <w:lang w:val="en-US" w:eastAsia="zh-CN"/>
        </w:rPr>
      </w:pPr>
      <w:bookmarkStart w:id="129" w:name="_Toc1423"/>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深化农业农村改革</w:t>
      </w:r>
      <w:bookmarkEnd w:id="129"/>
    </w:p>
    <w:p w14:paraId="660C338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巩固和完善农村基本经营制度，稳定土地承包关系，稳步推进第二轮土地承包到期后再延长30年试点，健全承包地经营权流转价格形成机制和管理服务制度。发展农业适度规模经营，提高新型农业经营主体发展质量，完善便捷高效的农业社会化服务体系，促进小农户和现代农业发展有机衔接。深化供销合作社综合改革。节约集约利用农村集体经营性建设用地，有序推进入市改革，健全土地增值收益分配机制。加快完成房地一体宅基地确权登记颁证，加强农村宅基地规范管理，依法盘活用好闲置土地和房屋。深化农村集体产权制度改革，支持发展新型农村集体经济。加强农村产权交易市场规范化建设。激励各类人才下乡服务和创业就业。</w:t>
      </w:r>
    </w:p>
    <w:p w14:paraId="38E45861">
      <w:pPr>
        <w:ind w:firstLine="640" w:firstLineChars="200"/>
        <w:outlineLvl w:val="0"/>
        <w:rPr>
          <w:rFonts w:hint="default" w:ascii="楷体_GB2312" w:hAnsi="楷体_GB2312" w:eastAsia="楷体_GB2312" w:cs="楷体_GB2312"/>
          <w:lang w:val="en-US" w:eastAsia="zh-CN"/>
        </w:rPr>
      </w:pPr>
      <w:bookmarkStart w:id="130" w:name="_Toc19780"/>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完善常态化帮扶机制</w:t>
      </w:r>
      <w:bookmarkEnd w:id="130"/>
    </w:p>
    <w:p w14:paraId="6D81FF8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建立常态化防止返贫致贫机制，坚持精准帮扶，完善兜底式保障，强化产业、就业等开发式帮扶，增强内生动力，分层分类帮扶欠发达地区，确保不发生规模性返贫致贫。优化现有国家乡村振兴重点帮扶县范围，完善支持政策和激励约束机制。优化完善东西部协作、对口合作等机制，持续做好中央单位定点帮扶，深入开展干部人才“组团式”帮扶。聚焦大型特大型安置区，加强易地搬迁后续扶持。推进市场化导向的消费帮扶。加强帮扶项目资产规范管理。加力扩围实施以工代赈。统筹推进灾害避险搬迁。</w:t>
      </w:r>
    </w:p>
    <w:p w14:paraId="31F580AA">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131" w:name="_Toc18503"/>
      <w:r>
        <w:rPr>
          <w:rFonts w:hint="default" w:ascii="方正小标宋简体" w:hAnsi="方正小标宋简体" w:eastAsia="方正小标宋简体" w:cs="方正小标宋简体"/>
          <w:sz w:val="40"/>
          <w:szCs w:val="40"/>
          <w:lang w:val="en-US" w:eastAsia="zh-CN"/>
        </w:rPr>
        <w:t>第九篇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优化区域经济布局</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促进区域协调发展</w:t>
      </w:r>
      <w:bookmarkEnd w:id="131"/>
      <w:r>
        <w:rPr>
          <w:rFonts w:hint="eastAsia" w:ascii="方正小标宋简体" w:hAnsi="方正小标宋简体" w:eastAsia="方正小标宋简体" w:cs="方正小标宋简体"/>
          <w:sz w:val="40"/>
          <w:szCs w:val="40"/>
          <w:lang w:val="en-US" w:eastAsia="zh-CN"/>
        </w:rPr>
        <w:t xml:space="preserve"> </w:t>
      </w:r>
    </w:p>
    <w:p w14:paraId="7BF37F0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发挥区域协调发展战略、区域重大战略、主体功能区战略、新型城镇化战略叠加效应，统筹推进区域内战略深化实施和区域间联动发展，优化重大生产力布局，发挥重点区域增长极作用，构建优势互补、高质量发展的区域经济布局和国土空间体系。</w:t>
      </w:r>
    </w:p>
    <w:p w14:paraId="16756B3A">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32" w:name="_Toc8078"/>
      <w:r>
        <w:rPr>
          <w:rFonts w:hint="default" w:ascii="Times New Roman" w:hAnsi="Times New Roman" w:eastAsia="黑体" w:cs="Times New Roman"/>
          <w:color w:val="000000"/>
          <w:sz w:val="32"/>
          <w:lang w:val="en-US" w:eastAsia="zh-CN"/>
        </w:rPr>
        <w:t>第二十八章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增强区域发展协调性</w:t>
      </w:r>
      <w:bookmarkEnd w:id="132"/>
    </w:p>
    <w:p w14:paraId="4E23E2D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坚持一以贯之落实区域发展战略，因时因地制宜、分区分类施策，鼓励各地发挥比较优势、各展所长，促进东中西、南北方协调发展，在发展中促进相对平衡。</w:t>
      </w:r>
    </w:p>
    <w:p w14:paraId="3A8D9907">
      <w:pPr>
        <w:ind w:firstLine="640" w:firstLineChars="200"/>
        <w:outlineLvl w:val="0"/>
        <w:rPr>
          <w:rFonts w:hint="default" w:ascii="楷体_GB2312" w:hAnsi="楷体_GB2312" w:eastAsia="楷体_GB2312" w:cs="楷体_GB2312"/>
          <w:lang w:val="en-US" w:eastAsia="zh-CN"/>
        </w:rPr>
      </w:pPr>
      <w:bookmarkStart w:id="133" w:name="_Toc17591"/>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提升东中西和东北地区协调发展水平</w:t>
      </w:r>
      <w:bookmarkEnd w:id="133"/>
    </w:p>
    <w:p w14:paraId="6D89C90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聚焦大保护、大开放、高质量发展扎实推动西部大开发形成新格局，立足功能定位、资源禀赋和产业基础，做强做大特色优势产业，实施一批生态屏障建设重大工程，以开放通道、枢纽节点、平台载体建设促进对内对外开放。立足维护国家国防、粮食、生态、能源、产业安全推动东北全面振兴取得新突破，完善能源通道和交通网络，持续巩固提高粮食综合生产能力，推动科教、农业、生态等资源优势转化为发展成效，加快推进向北开放。开创中部地区加快崛起新局面，强化粮食和能源原材料保障能力，做优做强现代装备制造及高技术产业，建设综合交通运输枢纽体系，推进内陆地区高水平开放。鼓励东部地区加快推进现代化，加强原创性、颠覆性科技创新，引领建设具有国际竞争力的先进制造业集群和现代服务业高地。</w:t>
      </w:r>
    </w:p>
    <w:p w14:paraId="2ADA1B3D">
      <w:pPr>
        <w:ind w:firstLine="640" w:firstLineChars="200"/>
        <w:outlineLvl w:val="0"/>
        <w:rPr>
          <w:rFonts w:hint="default" w:ascii="楷体_GB2312" w:hAnsi="楷体_GB2312" w:eastAsia="楷体_GB2312" w:cs="楷体_GB2312"/>
          <w:lang w:val="en-US" w:eastAsia="zh-CN"/>
        </w:rPr>
      </w:pPr>
      <w:bookmarkStart w:id="134" w:name="_Toc2157"/>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巩固提升京津冀、长三角、粤港澳大湾区动力源作用</w:t>
      </w:r>
      <w:bookmarkEnd w:id="134"/>
    </w:p>
    <w:p w14:paraId="66F76B9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推进京津冀协同发展，形成更加紧密的全方位协同发展格局。积极稳妥有序疏解北京非首都功能，持续推动标志性疏解项目和政策落地，优化提升首都功能，建设现代化首都都市圈。高标准高质量推进雄安新区建设现代化城市，完善管理体制。提升北京城市副中心综合服务水平，提高天津滨海新区综合承载能力。深入推进长三角一体化发展，完善创新链产业链、基础设施、生态环保等一体化发展体制机制。加快上海“五个中心”建设，高标准建设长三角生态绿色一体化发展示范区，提升虹桥国际开放枢纽辐射能级，支持上海与苏州重点领域同城化发展，深化沪苏浙与皖北地区城市结对合作。深化粤港澳大湾区建设，强化科技创新、经济发展、公共服务等方面规则衔接、机制对接，加强法治保障，充分发挥重大合作平台先行先试作用，加快建设国际一流湾区。</w:t>
      </w:r>
    </w:p>
    <w:p w14:paraId="04DDD9AE">
      <w:pPr>
        <w:ind w:firstLine="640" w:firstLineChars="200"/>
        <w:outlineLvl w:val="0"/>
        <w:rPr>
          <w:rFonts w:hint="default" w:ascii="楷体_GB2312" w:hAnsi="楷体_GB2312" w:eastAsia="楷体_GB2312" w:cs="楷体_GB2312"/>
          <w:lang w:val="en-US" w:eastAsia="zh-CN"/>
        </w:rPr>
      </w:pPr>
      <w:bookmarkStart w:id="135" w:name="_Toc18214"/>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推进长江经济带发展、黄河流域生态保护和高质量发展</w:t>
      </w:r>
      <w:bookmarkEnd w:id="135"/>
    </w:p>
    <w:p w14:paraId="61FD26E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共抓大保护、不搞大开发，坚持生态优先、绿色发展，持续推进长江经济带高质量发展，强化重点领域污染治理和重要湖泊保护治理，坚定不移推进长江十年禁渔，有序提高沿线城市生活污水收集处理水平，推动长江干流稳定保持Ⅱ类水质、主要支流基本达到Ⅱ类水质。畅通长江黄金水道，加强岸线资源高水平保护和合理高效利用，推进沿江产业绿色转型升级，促进上中下游协同联动发展。全面推动黄河流域生态保护和高质量发展，持续完善大保护大协同格局，系统推进上游水源涵养、中游水土保持、下游湿地保护和生态治理，加大湟水河、渭河等重要支流综合治理力度，全力打好深度节水控水攻坚战。深化黄河流域生态保护和高质量发展先行区建设。</w:t>
      </w:r>
    </w:p>
    <w:p w14:paraId="0AD48A7A">
      <w:pPr>
        <w:ind w:firstLine="640" w:firstLineChars="200"/>
        <w:outlineLvl w:val="0"/>
        <w:rPr>
          <w:rFonts w:hint="default" w:ascii="楷体_GB2312" w:hAnsi="楷体_GB2312" w:eastAsia="楷体_GB2312" w:cs="楷体_GB2312"/>
          <w:lang w:val="en-US" w:eastAsia="zh-CN"/>
        </w:rPr>
      </w:pPr>
      <w:bookmarkStart w:id="136" w:name="_Toc17181"/>
      <w:r>
        <w:rPr>
          <w:rFonts w:hint="default" w:ascii="楷体_GB2312" w:hAnsi="楷体_GB2312" w:eastAsia="楷体_GB2312" w:cs="楷体_GB2312"/>
          <w:lang w:val="en-US" w:eastAsia="zh-CN"/>
        </w:rPr>
        <w:t>第四节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支持特殊类型地区振兴发展</w:t>
      </w:r>
      <w:bookmarkEnd w:id="136"/>
    </w:p>
    <w:p w14:paraId="07EE12A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快革命老区振兴发展，传承红色基因，发展特色产业，支持革命老区发挥比较优势培育内生动力，深化革命老区重点城市对口合作。分类精准支持边境地区发展，统筹推动守边固边、兴边富民、强边固防、沿边开放，促进边境贸易创新发展，加大边境地区教育医疗等投入，实施更有力的护边补助政策，扎实推进沿边重点城镇和村庄建设，支持口岸城市发展，推动边疆地区高质量发展。支持生态退化地区开展生态修复和绿色发展。推进老工业基地、资源型地区转型发展，支持资源枯竭城市发展接续替代产业，推动采煤沉陷区、独立工矿区综合治理和整合利用。</w:t>
      </w:r>
    </w:p>
    <w:p w14:paraId="25B1C63D">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37" w:name="_Toc26047"/>
      <w:r>
        <w:rPr>
          <w:rFonts w:hint="default" w:ascii="Times New Roman" w:hAnsi="Times New Roman" w:eastAsia="黑体" w:cs="Times New Roman"/>
          <w:color w:val="000000"/>
          <w:sz w:val="32"/>
          <w:lang w:val="en-US" w:eastAsia="zh-CN"/>
        </w:rPr>
        <w:t>第二十九章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促进区域联动发展</w:t>
      </w:r>
      <w:bookmarkEnd w:id="137"/>
    </w:p>
    <w:p w14:paraId="008E4C5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以跨区域跨流域大通道为基础，以城市群联动发展为载体，以体制机制协同为保障，推动区域间互融互促、互利共赢，拓展国内大循环空间。</w:t>
      </w:r>
    </w:p>
    <w:p w14:paraId="56F643D8">
      <w:pPr>
        <w:ind w:firstLine="640" w:firstLineChars="200"/>
        <w:outlineLvl w:val="0"/>
        <w:rPr>
          <w:rFonts w:hint="default" w:ascii="楷体_GB2312" w:hAnsi="楷体_GB2312" w:eastAsia="楷体_GB2312" w:cs="楷体_GB2312"/>
          <w:lang w:val="en-US" w:eastAsia="zh-CN"/>
        </w:rPr>
      </w:pPr>
      <w:bookmarkStart w:id="138" w:name="_Toc15732"/>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完善区域联动发展布局</w:t>
      </w:r>
      <w:bookmarkEnd w:id="138"/>
    </w:p>
    <w:p w14:paraId="7A3B541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区域基础设施互联互通，推进长江综合运输通道和沿边沿海通道等跨区域跨流域大通道建设，发挥西电东送、东数西算等跨区域重大工程支撑作用。加强城市群一体化和重点城市群协调联动，促进区域创新链产业链高效协作。支持京津冀、长三角、粤港澳大湾区打造世界级城市群。提升成渝地区双城经济圈发展能级，打造高质量发展重要增长极。推动长江中游城市群等加快发展。培育发展若干区域性中心城市，支持省际毗邻地区合作发展，更好发挥跨区域联结型地区支撑带动作用。支持经济大省挑大梁，加强改革攻坚、政策赋能、要素保障，在推进中国式现代化中走在前作示范。</w:t>
      </w:r>
    </w:p>
    <w:p w14:paraId="373E8F89">
      <w:pPr>
        <w:ind w:firstLine="640" w:firstLineChars="200"/>
        <w:outlineLvl w:val="0"/>
        <w:rPr>
          <w:rFonts w:hint="default" w:ascii="楷体_GB2312" w:hAnsi="楷体_GB2312" w:eastAsia="楷体_GB2312" w:cs="楷体_GB2312"/>
          <w:lang w:val="en-US" w:eastAsia="zh-CN"/>
        </w:rPr>
      </w:pPr>
      <w:bookmarkStart w:id="139" w:name="_Toc11765"/>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健全跨区域合作机制</w:t>
      </w:r>
      <w:bookmarkEnd w:id="139"/>
    </w:p>
    <w:p w14:paraId="07C2080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跨行政区合作，健全区域间规划统筹、产业协作、利益共享等机制。加强区域发展战略统筹实施和规划衔接，协同推进跨区域平台和重大工程项目建设。完善产业转移协作机制和平台体系，探索产业转出地和承接地税收、用地和碳排放指标等利益分享机制，促进重点产业在国内有序转移。支持城市群都市圈范围内依规划跨省统筹建设用地指标。探索区域协同立法。支持流域上下游、资源输出地输入地之间开展利益补偿，因地制宜拓展流域经济等模式。加快推动民族地区高质量发展，深化各民族交往交流交融，完善对口援疆援藏工作机制，加大对南疆地区倾斜支持力度。</w:t>
      </w:r>
    </w:p>
    <w:p w14:paraId="23C4EEC3">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40" w:name="_Toc4675"/>
      <w:r>
        <w:rPr>
          <w:rFonts w:hint="default" w:ascii="Times New Roman" w:hAnsi="Times New Roman" w:eastAsia="黑体" w:cs="Times New Roman"/>
          <w:color w:val="000000"/>
          <w:sz w:val="32"/>
          <w:lang w:val="en-US" w:eastAsia="zh-CN"/>
        </w:rPr>
        <w:t>第三十章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优化国土空间发展格局</w:t>
      </w:r>
      <w:bookmarkEnd w:id="140"/>
    </w:p>
    <w:p w14:paraId="363C008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坚持宜水则水、宜山则山，宜粮则粮、宜农则农，宜工则工、宜商则商，健全主体功能区制度体系，提高政策针对性和精准性，推动形成主体功能约束有效、国土开发有序的空间发展格局。</w:t>
      </w:r>
    </w:p>
    <w:p w14:paraId="569C41CF">
      <w:pPr>
        <w:ind w:firstLine="640" w:firstLineChars="200"/>
        <w:outlineLvl w:val="0"/>
        <w:rPr>
          <w:rFonts w:hint="default" w:ascii="楷体_GB2312" w:hAnsi="楷体_GB2312" w:eastAsia="楷体_GB2312" w:cs="楷体_GB2312"/>
          <w:lang w:val="en-US" w:eastAsia="zh-CN"/>
        </w:rPr>
      </w:pPr>
      <w:bookmarkStart w:id="141" w:name="_Toc11733"/>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强化主体功能区战略实施</w:t>
      </w:r>
      <w:bookmarkEnd w:id="141"/>
    </w:p>
    <w:p w14:paraId="75D57D6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保持城市化地区、农产品主产区、重点生态功能区格局总体稳定，适当优化部分地区主体功能，促进城市化地区增强经济人口集聚承载能力、农产品主产区提升农业综合生产能力、重点生态功能区改善自然生态系统质量。细化明确特殊功能区，在主体功能基础上因地制宜叠加维护国家安全、保障能源资源供给、保护传承文化、强化海洋资源保护利用等功能。完善不同主体功能区差异化支持政策和考核评价机制，合理配置新增建设用地、水资源等指标。</w:t>
      </w:r>
    </w:p>
    <w:p w14:paraId="21351A8E">
      <w:pPr>
        <w:ind w:firstLine="640" w:firstLineChars="200"/>
        <w:outlineLvl w:val="0"/>
        <w:rPr>
          <w:rFonts w:hint="default" w:ascii="楷体_GB2312" w:hAnsi="楷体_GB2312" w:eastAsia="楷体_GB2312" w:cs="楷体_GB2312"/>
          <w:lang w:val="en-US" w:eastAsia="zh-CN"/>
        </w:rPr>
      </w:pPr>
      <w:bookmarkStart w:id="142" w:name="_Toc989"/>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优化国土空间管控</w:t>
      </w:r>
      <w:bookmarkEnd w:id="142"/>
    </w:p>
    <w:p w14:paraId="3A13B58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国土空间规划体系，依据国家发展规划、结合国土空间规划评估结果，动态完善国土空间规划，发挥对国土空间开发保护的基础作用。落实优化耕地和永久基本农田、生态保护红线、城镇开发边界等控制线以及各类管控边界，围绕国家重大战略实施合理优化管控目标。提高永久基本农田质量，有序推动不稳定耕地、灾毁耕地等退出并及时补足，研究完善生态保护红线内人为活动差异化管控方式和战略性矿产差别化勘查开采政策，根据人口流动和产业发展趋势优化城镇开发边界。统筹利用近岸、深远海空间。</w:t>
      </w:r>
    </w:p>
    <w:p w14:paraId="2EDF96AD">
      <w:pPr>
        <w:ind w:firstLine="640" w:firstLineChars="200"/>
        <w:outlineLvl w:val="0"/>
        <w:rPr>
          <w:rFonts w:hint="default" w:ascii="楷体_GB2312" w:hAnsi="楷体_GB2312" w:eastAsia="楷体_GB2312" w:cs="楷体_GB2312"/>
          <w:lang w:val="en-US" w:eastAsia="zh-CN"/>
        </w:rPr>
      </w:pPr>
      <w:bookmarkStart w:id="143" w:name="_Toc16631"/>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加强国土空间协同治理</w:t>
      </w:r>
      <w:bookmarkEnd w:id="143"/>
    </w:p>
    <w:p w14:paraId="077DDE3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建立健全国土空间用途管制和规划许可制度，分区分类实施差别化、精细化用途管制。健全国家重大项目用地保障机制，发挥自然资源管理和国土空间规划“一张图”作用。赋予省级政府统筹建设用地更大自主权，探索实施建设用地总量按规划期管控模式，允许在不突破省域建设用地总量前提下统筹安排市县建设用地、差异化配置增存比例，实行统筹存量和增量综合供地。推动用地审查与规划许可有机融合、用地用海用林用草联动审批。</w:t>
      </w:r>
    </w:p>
    <w:p w14:paraId="1688A9DB">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44" w:name="_Toc24519"/>
      <w:r>
        <w:rPr>
          <w:rFonts w:hint="default" w:ascii="Times New Roman" w:hAnsi="Times New Roman" w:eastAsia="黑体" w:cs="Times New Roman"/>
          <w:color w:val="000000"/>
          <w:sz w:val="32"/>
          <w:lang w:val="en-US" w:eastAsia="zh-CN"/>
        </w:rPr>
        <w:t>第三十一章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深入推进以人为本的新型城镇化</w:t>
      </w:r>
      <w:bookmarkEnd w:id="144"/>
    </w:p>
    <w:p w14:paraId="65F7A53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持续提高城镇化质量，促进农业转移人口全面融入城市，优化城市规模结构，推动城市内涵式发展，促进大中小城市和小城镇协调发展、集约紧凑布局。</w:t>
      </w:r>
    </w:p>
    <w:p w14:paraId="0E711599">
      <w:pPr>
        <w:ind w:firstLine="640" w:firstLineChars="200"/>
        <w:outlineLvl w:val="0"/>
        <w:rPr>
          <w:rFonts w:hint="default" w:ascii="楷体_GB2312" w:hAnsi="楷体_GB2312" w:eastAsia="楷体_GB2312" w:cs="楷体_GB2312"/>
          <w:lang w:val="en-US" w:eastAsia="zh-CN"/>
        </w:rPr>
      </w:pPr>
      <w:bookmarkStart w:id="145" w:name="_Toc1522"/>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科学有序推进农业转移人口市民化</w:t>
      </w:r>
      <w:bookmarkEnd w:id="145"/>
    </w:p>
    <w:p w14:paraId="770D516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积极稳妥、分类推进，统筹深化户籍制度改革和常住地提供基本公共服务。完善超大特大城市积分落户政策，全面设立街道或社区公共户口，拓宽稳定就业居住的农业转移人口落户渠道。探索建立全国统一的人口管理制度，逐步实现由常住地登记户口。稳步提高农民工参加城镇职工社会保险比例，推动更多城市将符合条件的未落户常住人口纳入公租房保障范围。因地制宜放宽在流入地参加中考报名条件，推进符合条件的随迁子女连续接受基础教育。进一步健全“人地钱”挂钩机制。保障进城落户农民合法土地权益，依法维护进城落户农民的土地承包权、宅基地使用权、集体收益分配权，探索建立自愿有偿退出的办法。</w:t>
      </w:r>
    </w:p>
    <w:p w14:paraId="05C609BB">
      <w:pPr>
        <w:ind w:firstLine="640" w:firstLineChars="200"/>
        <w:outlineLvl w:val="0"/>
        <w:rPr>
          <w:rFonts w:hint="default" w:ascii="楷体_GB2312" w:hAnsi="楷体_GB2312" w:eastAsia="楷体_GB2312" w:cs="楷体_GB2312"/>
          <w:lang w:val="en-US" w:eastAsia="zh-CN"/>
        </w:rPr>
      </w:pPr>
      <w:bookmarkStart w:id="146" w:name="_Toc15570"/>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培育发展现代化都市圈</w:t>
      </w:r>
      <w:bookmarkEnd w:id="146"/>
    </w:p>
    <w:p w14:paraId="695E072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都市圈同城化发展体制机制，构建便捷高效的通勤圈、梯次配套的产业圈、便利共享的生活圈。推进超大特大城市治理现代化，做强做精核心功能，辐射带动周边市县共同发展。推进都市圈内规划统一编制、项目统筹布局、政策协同制定，强化空间布局和土地用途跨行政区衔接，在具备条件的地方探索以都市圈为基本单元统筹公共资源和要素配置。提高都市圈通勤效率，加快打通城际未贯通路段和瓶颈路段，推动科技创新券通兑通用、就业和居住年限互认。在中西部和东北地区培育若干都市圈，增强中心城市辐射带动能级。</w:t>
      </w:r>
    </w:p>
    <w:p w14:paraId="3EDE0DFE">
      <w:pPr>
        <w:ind w:firstLine="640" w:firstLineChars="200"/>
        <w:outlineLvl w:val="0"/>
        <w:rPr>
          <w:rFonts w:hint="default" w:ascii="楷体_GB2312" w:hAnsi="楷体_GB2312" w:eastAsia="楷体_GB2312" w:cs="楷体_GB2312"/>
          <w:lang w:val="en-US" w:eastAsia="zh-CN"/>
        </w:rPr>
      </w:pPr>
      <w:bookmarkStart w:id="147" w:name="_Toc18560"/>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建设现代化人民城市</w:t>
      </w:r>
      <w:bookmarkEnd w:id="147"/>
    </w:p>
    <w:p w14:paraId="5BC3982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动城市发展方式转变，建设创新、宜居、美丽、韧性、文明、智慧的现代化人民城市。实施激发产业创新活力专项行动，提升城市产业创新策源力。高质量推进城市更新，开展城市体检，加快建设完整社区，健全城市更新实施机制，建立与建筑功能转换和混合利用需求相适应的规划调整机制，构建可持续的城市建设运营投融资体系。高效利用城市地下空间。推动城市发展绿色低碳转型，优化城市公共交通服务，健全城市公园、绿道网络和慢行交通系统，不断完善15分钟健身圈。加快城市基础设施生命线安全工程建设，推进老旧管网和危旧房改造，提升城市排水防涝能力。严格限制超高层建筑，提升高层建筑火灾防范和救援能力。加强城市风貌和建筑设计管理，推动城市建筑更好体现中华美学和时代风尚。加强互嵌式社区建设。推进城市全域数字化转型，完善城市管理机制和运行管理服务平台，推动城市治理智慧化精细化。</w:t>
      </w:r>
    </w:p>
    <w:p w14:paraId="79D03263">
      <w:pPr>
        <w:ind w:firstLine="640" w:firstLineChars="200"/>
        <w:outlineLvl w:val="0"/>
        <w:rPr>
          <w:rFonts w:hint="default" w:ascii="楷体_GB2312" w:hAnsi="楷体_GB2312" w:eastAsia="楷体_GB2312" w:cs="楷体_GB2312"/>
          <w:lang w:val="en-US" w:eastAsia="zh-CN"/>
        </w:rPr>
      </w:pPr>
      <w:bookmarkStart w:id="148" w:name="_Toc20279"/>
      <w:r>
        <w:rPr>
          <w:rFonts w:hint="default" w:ascii="楷体_GB2312" w:hAnsi="楷体_GB2312" w:eastAsia="楷体_GB2312" w:cs="楷体_GB2312"/>
          <w:lang w:val="en-US" w:eastAsia="zh-CN"/>
        </w:rPr>
        <w:t>第四节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分类推进以县城为重要载体的城镇化建设</w:t>
      </w:r>
      <w:bookmarkEnd w:id="148"/>
    </w:p>
    <w:p w14:paraId="5198379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立足资源禀赋、区位条件和发展基础，分类引导大城市周边县、农产品主产区县、重点生态功能区县、陆地边境县等县城发展方向，形成各具特色的发展路径，有序促进人口向县城和中心镇合理集聚。强化城镇化潜力地区县城产业支撑，吸纳农业转移人口就近就业安居和返乡创业。支持县城基础设施和公共服务补短板，增强县城综合承载能力，强化县级财力保障。适时调整扩大经济规模大、人口增长快的县级市和特大镇经济社会管理权限，稳妥推进人口小县机构优化。</w:t>
      </w:r>
    </w:p>
    <w:p w14:paraId="4C37C4A9">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49" w:name="_Toc19897"/>
      <w:r>
        <w:rPr>
          <w:rFonts w:hint="default" w:ascii="Times New Roman" w:hAnsi="Times New Roman" w:eastAsia="黑体" w:cs="Times New Roman"/>
          <w:color w:val="000000"/>
          <w:sz w:val="32"/>
          <w:lang w:val="en-US" w:eastAsia="zh-CN"/>
        </w:rPr>
        <w:t>第三十二章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加强海洋开发利用保护</w:t>
      </w:r>
      <w:bookmarkEnd w:id="149"/>
    </w:p>
    <w:p w14:paraId="144CBD1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坚持陆海统筹，提高经略海洋能力，加快建设海洋强国，走出一条具有中国特色的向海图强之路。</w:t>
      </w:r>
    </w:p>
    <w:p w14:paraId="54757EA8">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推动海洋经济高质量发展</w:t>
      </w:r>
    </w:p>
    <w:p w14:paraId="6CBEB79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做强做优做大海洋产业，有序推进海洋能源资源开发利用，发展深远海养殖和现代化远洋渔业，巩固提升海洋装备制造业优势，壮大海洋生物医药、海水淡化等海洋新兴产业，发展现代航运服务业，打造海洋特色文化和旅游目的地。强化海洋战略科技力量，加强海洋科技创新，健全深海极地考察支撑保障体系，发展远洋气象导航服务。实施深海工程，提高深海进入、探测、开发、安全能力。加强主要海湾整体规划，提升北部、东部、南部海洋经济圈发展水平，优化海洋经济发展示范区布局，建设各具特色的现代海洋城市，因地制宜深化港产城融合发展，鼓励沿海地区与内陆地区加强海洋经济合作。完善促进海洋经济发展体制机制，加大财税、金融等政策支持力度，优化海洋经济统计监测体系。</w:t>
      </w:r>
    </w:p>
    <w:p w14:paraId="5AFE1F58">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保护海洋生态环境</w:t>
      </w:r>
    </w:p>
    <w:p w14:paraId="649EA77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强海洋环境风险源头防范，推进重点海域污染防治、岸滩整治和保护修复，近岸海域优良水质比例达到86%左右。严格围填海管控，全面落实自然岸线、滨海湿地、无居民海岛等保护要求，大陆自然岸线保有率不低于35%。强化海洋垃圾清理和资源化利用。制定差异化用海标准规范，积极推进海域分层立体利用。健全海岛开发保护管理体系，分类有序推进海岛发展。实施新一轮海洋综合调查，健全海洋生态预警监测体系，提高重大海洋灾害风险防控能力，防范应对海水倒灌。探索开展海洋碳汇核算。</w:t>
      </w:r>
    </w:p>
    <w:p w14:paraId="34ABB667">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维护国家海洋权益</w:t>
      </w:r>
    </w:p>
    <w:p w14:paraId="41AEAAE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积极推动构建海洋命运共同体，拓展蓝色伙伴关系，推动建设公正合理的国际海洋秩序。主动参与国际海洋治理规则制定，积极履行海洋生物多样性协定。加强海洋科研调查、防灾减灾、蓝色经济等领域国际合作，持续完善海洋领域多双边合作平台和机制，推动在我国设立专门海洋国际组织。增强海洋意识，加强形势研判、风险防范和法理斗争，健全维护海洋权益的体制机制，提高海上执法和海事司法能力。</w:t>
      </w:r>
    </w:p>
    <w:p w14:paraId="5533E098">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150" w:name="_Toc10866"/>
      <w:r>
        <w:rPr>
          <w:rFonts w:hint="default" w:ascii="方正小标宋简体" w:hAnsi="方正小标宋简体" w:eastAsia="方正小标宋简体" w:cs="方正小标宋简体"/>
          <w:sz w:val="40"/>
          <w:szCs w:val="40"/>
          <w:lang w:val="en-US" w:eastAsia="zh-CN"/>
        </w:rPr>
        <w:t>第十篇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激发全民族文化创新创造活力</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繁荣发展社会主义文化</w:t>
      </w:r>
      <w:bookmarkEnd w:id="150"/>
      <w:r>
        <w:rPr>
          <w:rFonts w:hint="eastAsia" w:ascii="方正小标宋简体" w:hAnsi="方正小标宋简体" w:eastAsia="方正小标宋简体" w:cs="方正小标宋简体"/>
          <w:sz w:val="40"/>
          <w:szCs w:val="40"/>
          <w:lang w:val="en-US" w:eastAsia="zh-CN"/>
        </w:rPr>
        <w:t xml:space="preserve"> </w:t>
      </w:r>
    </w:p>
    <w:p w14:paraId="3BE7A0F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509B7AAF">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51" w:name="_Toc6911"/>
      <w:r>
        <w:rPr>
          <w:rFonts w:hint="default" w:ascii="Times New Roman" w:hAnsi="Times New Roman" w:eastAsia="黑体" w:cs="Times New Roman"/>
          <w:color w:val="000000"/>
          <w:sz w:val="32"/>
          <w:lang w:val="en-US" w:eastAsia="zh-CN"/>
        </w:rPr>
        <w:t>第三十三章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弘扬和践行社会主义核心价值观</w:t>
      </w:r>
      <w:bookmarkEnd w:id="151"/>
    </w:p>
    <w:p w14:paraId="64D6451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以社会主义核心价值观引领文化建设，发展壮大主流价值、主流舆论、主流文化，不断构筑中国精神、中国价值、中国力量。</w:t>
      </w:r>
    </w:p>
    <w:p w14:paraId="1C4F1ED0">
      <w:pPr>
        <w:ind w:firstLine="640" w:firstLineChars="200"/>
        <w:outlineLvl w:val="0"/>
        <w:rPr>
          <w:rFonts w:hint="default" w:ascii="楷体_GB2312" w:hAnsi="楷体_GB2312" w:eastAsia="楷体_GB2312" w:cs="楷体_GB2312"/>
          <w:lang w:val="en-US" w:eastAsia="zh-CN"/>
        </w:rPr>
      </w:pPr>
      <w:bookmarkStart w:id="152" w:name="_Toc18141"/>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推动理想信念教育常态化制度化</w:t>
      </w:r>
      <w:bookmarkEnd w:id="152"/>
    </w:p>
    <w:p w14:paraId="78F3976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党的创新理论学习和宣传教育，坚持不懈用习近平新时代中国特色社会主义思想凝心铸魂，加强体系化、学理化研究阐释和大众化、通俗化宣传普及。牢牢掌握党对意识形态工作领导权，全面落实意识形态工作责任制。弘扬中国共产党人精神谱系，深化爱国主义、集体主义、社会主义教育。加强和改进思想政治工作，推进校园文化建设，用好红色资源，加强青少年理想信念教育。深化主流媒体系统性变革，推进新闻宣传和网络舆论一体化管理，提高主流舆论引导能力。创新实施马克思主义理论研究和建设工程，实施哲学社会科学创新工程，加快构建中国哲学社会科学自主知识体系。加强中国特色新型智库建设。</w:t>
      </w:r>
    </w:p>
    <w:p w14:paraId="62A48BB0">
      <w:pPr>
        <w:ind w:firstLine="640" w:firstLineChars="200"/>
        <w:outlineLvl w:val="0"/>
        <w:rPr>
          <w:rFonts w:hint="default" w:ascii="楷体_GB2312" w:hAnsi="楷体_GB2312" w:eastAsia="楷体_GB2312" w:cs="楷体_GB2312"/>
          <w:lang w:val="en-US" w:eastAsia="zh-CN"/>
        </w:rPr>
      </w:pPr>
      <w:bookmarkStart w:id="153" w:name="_Toc21921"/>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提高社会文明程度</w:t>
      </w:r>
      <w:bookmarkEnd w:id="153"/>
    </w:p>
    <w:p w14:paraId="2A325CA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推进城乡精神文明建设，发挥文化养心志、育情操的作用，涵养全民族昂扬奋发的精神气质。加强新时代公民道德建设，大力弘扬社会公德、职业道德、家庭美德、个人品德，加强家庭家教家风建设，强化未成年人思想道德建设。弘扬诚信文化、廉洁文化。发挥先进典型示范引领作用，加强英模人物学习宣传，完善功勋荣誉表彰体系。发挥市民公约、村规民约等作用，推进移风易俗。改进创新文明培育、文明实践、文明创建工作机制。</w:t>
      </w:r>
    </w:p>
    <w:p w14:paraId="70BD31A2">
      <w:pPr>
        <w:ind w:firstLine="640" w:firstLineChars="200"/>
        <w:outlineLvl w:val="0"/>
        <w:rPr>
          <w:rFonts w:hint="default" w:ascii="楷体_GB2312" w:hAnsi="楷体_GB2312" w:eastAsia="楷体_GB2312" w:cs="楷体_GB2312"/>
          <w:lang w:val="en-US" w:eastAsia="zh-CN"/>
        </w:rPr>
      </w:pPr>
      <w:bookmarkStart w:id="154" w:name="_Toc4459"/>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加强网络文明建设</w:t>
      </w:r>
      <w:bookmarkEnd w:id="154"/>
    </w:p>
    <w:p w14:paraId="5548087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提升信息化条件下文化领域治理能力，培育积极健康、向上向善的网络文化，共建网上美好精神家园。加强网络内容建设和管理，提升党的创新理论、中华优秀传统文化网上传播效能。加强全媒体传播体系建设，构建适应全媒体生产传播工作机制和评价体系。健全网络综合治理格局，完善网络生态治理长效机制，规范网络内容生产、信息发布和传播流程，督促互联网企业履行社会责任。统筹推进广播电视、网络视听发展和监管。</w:t>
      </w:r>
    </w:p>
    <w:p w14:paraId="525DBEF7">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55" w:name="_Toc2107"/>
      <w:r>
        <w:rPr>
          <w:rFonts w:hint="default" w:ascii="Times New Roman" w:hAnsi="Times New Roman" w:eastAsia="黑体" w:cs="Times New Roman"/>
          <w:color w:val="000000"/>
          <w:sz w:val="32"/>
          <w:lang w:val="en-US" w:eastAsia="zh-CN"/>
        </w:rPr>
        <w:t>第三十四章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大力繁荣文化事业</w:t>
      </w:r>
      <w:bookmarkEnd w:id="155"/>
    </w:p>
    <w:p w14:paraId="71142A8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健全公共文化服务体系，传承弘扬中华优秀传统文化，让人民享受更高品质的文化生活。</w:t>
      </w:r>
    </w:p>
    <w:p w14:paraId="2C090E4D">
      <w:pPr>
        <w:ind w:firstLine="640" w:firstLineChars="200"/>
        <w:outlineLvl w:val="0"/>
        <w:rPr>
          <w:rFonts w:hint="default" w:ascii="楷体_GB2312" w:hAnsi="楷体_GB2312" w:eastAsia="楷体_GB2312" w:cs="楷体_GB2312"/>
          <w:lang w:val="en-US" w:eastAsia="zh-CN"/>
        </w:rPr>
      </w:pPr>
      <w:bookmarkStart w:id="156" w:name="_Toc15855"/>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繁荣文化创作生产</w:t>
      </w:r>
      <w:bookmarkEnd w:id="156"/>
    </w:p>
    <w:p w14:paraId="26B5362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以人民为中心的创作导向，把提高质量作为文艺创作的生命线，营造良好文化生态，提升文化原创能力。改进文艺创作生产服务、引导、组织工作机制，实施新时代艺术创作系列工程，推动新闻出版、广播影视、文学艺术等领域精品创作，繁荣互联网条件下新大众文艺。培育形成规模宏大、结构合理、锐意创新的高水平文化人才队伍。深化文化事业单位改革，完善文艺院团建设发展机制。深化文娱领域综合治理。</w:t>
      </w:r>
    </w:p>
    <w:p w14:paraId="35BC4B52">
      <w:pPr>
        <w:ind w:firstLine="640" w:firstLineChars="200"/>
        <w:outlineLvl w:val="0"/>
        <w:rPr>
          <w:rFonts w:hint="default" w:ascii="楷体_GB2312" w:hAnsi="楷体_GB2312" w:eastAsia="楷体_GB2312" w:cs="楷体_GB2312"/>
          <w:lang w:val="en-US" w:eastAsia="zh-CN"/>
        </w:rPr>
      </w:pPr>
      <w:bookmarkStart w:id="157" w:name="_Toc17494"/>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提升公共文化服务水平</w:t>
      </w:r>
      <w:bookmarkEnd w:id="157"/>
    </w:p>
    <w:p w14:paraId="36A82E5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文化惠民，实施公共文化服务提质增效行动，促进优质文化资源直达基层。广泛开展群众性文化活动，加强群众文艺团队建设。依托城市书房、社区文化驿站、文化长廊等发展新型公共文化空间，提供更多群众身边的文化服务。盘活用好各类公共文化设施资源，健全社会力量参与公共文化服务机制，有序推进公共文化设施所有权和使用权分置改革。提升智慧博物馆、智慧图书馆、公共文化云服务效能。深化全民阅读活动，推进书香社会建设。加强新型广电网络建设，提升超高清内容制播能力，深化互联网电视“套娃”收费和操作复杂治理。</w:t>
      </w:r>
    </w:p>
    <w:p w14:paraId="18619F06">
      <w:pPr>
        <w:ind w:firstLine="640" w:firstLineChars="200"/>
        <w:outlineLvl w:val="0"/>
        <w:rPr>
          <w:rFonts w:hint="default" w:ascii="楷体_GB2312" w:hAnsi="楷体_GB2312" w:eastAsia="楷体_GB2312" w:cs="楷体_GB2312"/>
          <w:lang w:val="en-US" w:eastAsia="zh-CN"/>
        </w:rPr>
      </w:pPr>
      <w:bookmarkStart w:id="158" w:name="_Toc6347"/>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加强文化遗产保护传承</w:t>
      </w:r>
      <w:bookmarkEnd w:id="158"/>
    </w:p>
    <w:p w14:paraId="1277F59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动文化遗产系统性保护和统一监管，推进管理资源整合，建立文化遗产保护督察制度。深入实施中华优秀传统文化传承发展工程，构建中华文明标识体系。实施中华文明探源和考古中国工程。加大世界文化遗产、古迹遗址、革命文物、馆藏文物、文化景观等保护力度，加强历史文化名城、街区、村镇有效保护和活态传承。建好用好长城、大运河、长征、黄河、长江国家文化公园，优化建设管理体制机制。强化档案文献遗产保护和古籍抢救性保护，加强中华典籍文献传承。提升非物质文化遗产保护传承水平，培育传承体验新场景。加强和改进地方志工作。</w:t>
      </w:r>
    </w:p>
    <w:p w14:paraId="28F951D9">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59" w:name="_Toc2525"/>
      <w:r>
        <w:rPr>
          <w:rFonts w:hint="default" w:ascii="Times New Roman" w:hAnsi="Times New Roman" w:eastAsia="黑体" w:cs="Times New Roman"/>
          <w:color w:val="000000"/>
          <w:sz w:val="32"/>
          <w:lang w:val="en-US" w:eastAsia="zh-CN"/>
        </w:rPr>
        <w:t>第三十五章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加快发展文化产业</w:t>
      </w:r>
      <w:bookmarkEnd w:id="159"/>
    </w:p>
    <w:p w14:paraId="4B77BFF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完善文化管理体制和生产经营机制，实施积极的文化经济政策，大力发展文化旅游业，以文化赋能经济社会发展。</w:t>
      </w:r>
    </w:p>
    <w:p w14:paraId="03046097">
      <w:pPr>
        <w:ind w:firstLine="640" w:firstLineChars="200"/>
        <w:outlineLvl w:val="0"/>
        <w:rPr>
          <w:rFonts w:hint="default" w:ascii="楷体_GB2312" w:hAnsi="楷体_GB2312" w:eastAsia="楷体_GB2312" w:cs="楷体_GB2312"/>
          <w:lang w:val="en-US" w:eastAsia="zh-CN"/>
        </w:rPr>
      </w:pPr>
      <w:bookmarkStart w:id="160" w:name="_Toc15110"/>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健全文化产业体系和市场体系</w:t>
      </w:r>
      <w:bookmarkEnd w:id="160"/>
    </w:p>
    <w:p w14:paraId="28DE8EB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实施重大文化产业项目带动战略，扩大优质文化产品供给。改造提升传统文化业态，推进文化和科技融合，推动文化建设数智化赋能、信息化转型，发展数字动漫、沉浸式展演、线上演播、短视频、微短剧等新型文化业态，引导规范网络文学、网络游戏、网络视听等健康发展。深入实施出版融合发展工程，深化全产业链改革创新。培育优秀文化企业和品牌，促进文化产业园区规范创新发展。加快构建统一开放、高效规范、竞争有序的文化市场，深入推进文化市场综合执法改革，深化影视制作、网络视听等领域审批制度改革。</w:t>
      </w:r>
    </w:p>
    <w:p w14:paraId="5DEDE396">
      <w:pPr>
        <w:ind w:firstLine="640" w:firstLineChars="200"/>
        <w:outlineLvl w:val="0"/>
        <w:rPr>
          <w:rFonts w:hint="default" w:ascii="楷体_GB2312" w:hAnsi="楷体_GB2312" w:eastAsia="楷体_GB2312" w:cs="楷体_GB2312"/>
          <w:lang w:val="en-US" w:eastAsia="zh-CN"/>
        </w:rPr>
      </w:pPr>
      <w:bookmarkStart w:id="161" w:name="_Toc27485"/>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推进文旅深度融合</w:t>
      </w:r>
      <w:bookmarkEnd w:id="161"/>
    </w:p>
    <w:p w14:paraId="7A3AF42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以文塑旅、以旅彰文，推进旅游强国建设。丰富高品质旅游产品供给，深挖特色资源和文化内涵，积极推动多业态融合发展。因地制宜发展红色旅游、乡村旅游、康养旅游、工业旅游等，规范发展研学旅游，培育特色主题旅游线路和旅游演艺精品项目。完善旅游公共服务，全链条提高旅游服务质量。加强文旅项目建设规范管理，防止闲置浪费。加强旅游市场综合监管和安全管理，改善旅游消费体验。实施入境旅游促进计划，提升入境游便利化国际化水平。</w:t>
      </w:r>
    </w:p>
    <w:p w14:paraId="3660160C">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62" w:name="_Toc23571"/>
      <w:r>
        <w:rPr>
          <w:rFonts w:hint="default" w:ascii="Times New Roman" w:hAnsi="Times New Roman" w:eastAsia="黑体" w:cs="Times New Roman"/>
          <w:color w:val="000000"/>
          <w:sz w:val="32"/>
          <w:lang w:val="en-US" w:eastAsia="zh-CN"/>
        </w:rPr>
        <w:t>第三十六章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提升中华文明传播力影响力</w:t>
      </w:r>
      <w:bookmarkEnd w:id="162"/>
    </w:p>
    <w:p w14:paraId="67668F1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加快构建中国话语和中国叙事体系，提升国际传播效能，加强对外文化交流合作，展现可信、可爱、可敬的中国形象。</w:t>
      </w:r>
    </w:p>
    <w:p w14:paraId="7DB68046">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构建更有效力的国际传播体系</w:t>
      </w:r>
    </w:p>
    <w:p w14:paraId="532A27F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国际传播体制机制，创新传播载体和方式，拓展海外传播网络，构建多渠道、立体式对外传播格局，全面提升国际话语权。培育全球化、市场化、专业化的国际传播主体，增强主流媒体国际传播能力，构建广电视听媒体国际传播矩阵，促进社交媒体平台国际化发展，推动中国故事和中国声音全球化、区域化、分众化表达。鼓励文化企业国际化经营，推动优质网络文学、网络游戏、影视动漫、精品展览等出海，加强国际传播重点基地、国家文化出口基地建设。</w:t>
      </w:r>
    </w:p>
    <w:p w14:paraId="6FA99365">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深化文明交流互鉴</w:t>
      </w:r>
    </w:p>
    <w:p w14:paraId="7E5BCF6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广泛开展国际人文交流合作，加强多层次文明对话，推动中华文化更好走向世界。举办全球文明对话大会，持续办好良渚论坛。开展“读懂中国”、“兰花奖”等品牌活动，办好中国文化和旅游年（节）、海外中国电影节展。加强文化遗产领域国际发展援助，深化文物追索返还国际合作。支持中华文化传播展示和海外中国学发展。加强区域国别研究。</w:t>
      </w:r>
    </w:p>
    <w:p w14:paraId="1496131E">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163" w:name="_Toc23855"/>
      <w:r>
        <w:rPr>
          <w:rFonts w:hint="default" w:ascii="方正小标宋简体" w:hAnsi="方正小标宋简体" w:eastAsia="方正小标宋简体" w:cs="方正小标宋简体"/>
          <w:sz w:val="40"/>
          <w:szCs w:val="40"/>
          <w:lang w:val="en-US" w:eastAsia="zh-CN"/>
        </w:rPr>
        <w:t>第十一篇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完善人口发展战略</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促进人口高质量发展</w:t>
      </w:r>
      <w:bookmarkEnd w:id="163"/>
      <w:r>
        <w:rPr>
          <w:rFonts w:hint="eastAsia" w:ascii="方正小标宋简体" w:hAnsi="方正小标宋简体" w:eastAsia="方正小标宋简体" w:cs="方正小标宋简体"/>
          <w:sz w:val="40"/>
          <w:szCs w:val="40"/>
          <w:lang w:val="en-US" w:eastAsia="zh-CN"/>
        </w:rPr>
        <w:t xml:space="preserve"> </w:t>
      </w:r>
    </w:p>
    <w:p w14:paraId="4A965DC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以应对人口老龄化、少子化为重点完善人口发展战略，健全覆盖全人群、全生命周期的人口服务体系，优化人口结构，提高人口素质，以人口高质量发展支撑中国式现代化。</w:t>
      </w:r>
    </w:p>
    <w:p w14:paraId="584FD8EE">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64" w:name="_Toc5841"/>
      <w:r>
        <w:rPr>
          <w:rFonts w:hint="default" w:ascii="Times New Roman" w:hAnsi="Times New Roman" w:eastAsia="黑体" w:cs="Times New Roman"/>
          <w:color w:val="000000"/>
          <w:sz w:val="32"/>
          <w:lang w:val="en-US" w:eastAsia="zh-CN"/>
        </w:rPr>
        <w:t>第三十七章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建设生育友好型社会</w:t>
      </w:r>
      <w:bookmarkEnd w:id="164"/>
    </w:p>
    <w:p w14:paraId="0414B03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优化生育支持政策和激励措施，有效降低家庭生育养育教育成本，努力稳定新出生人口规模，促进人口长期均衡发展。</w:t>
      </w:r>
    </w:p>
    <w:p w14:paraId="10889C6C">
      <w:pPr>
        <w:ind w:firstLine="640" w:firstLineChars="200"/>
        <w:outlineLvl w:val="0"/>
        <w:rPr>
          <w:rFonts w:hint="default" w:ascii="楷体_GB2312" w:hAnsi="楷体_GB2312" w:eastAsia="楷体_GB2312" w:cs="楷体_GB2312"/>
          <w:lang w:val="en-US" w:eastAsia="zh-CN"/>
        </w:rPr>
      </w:pPr>
      <w:bookmarkStart w:id="165" w:name="_Toc20215"/>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完善生育支持政策</w:t>
      </w:r>
      <w:bookmarkEnd w:id="165"/>
    </w:p>
    <w:p w14:paraId="6D69EFA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生育友好的政策取向，推动生育支持融入经济社会发展各项政策。发挥育儿补贴和婴幼儿照护、子女教育个人所得税专项附加扣除政策作用，探索建立补贴标准动态调整机制。扩大生育保险制度覆盖面，合理提升产前检查医疗费用保障水平，基本实现政策范围内住院分娩个人“无自付”，将适宜的分娩镇痛项目纳入保障范围。全面落实生育休假制度，鼓励用人单位对3岁以下婴幼儿父母职工实行弹性工作制。加强生育力保护，实施早孕关爱行动、孕育和出生缺陷防治能力提升计划，婴儿死亡率、孕产妇死亡率分别下降到3.5‰、12/10万以下。推进辅助生殖技术规范有序应用，加强医疗费用保障。探索对婴幼儿参加基本医疗保险提供资助。</w:t>
      </w:r>
    </w:p>
    <w:p w14:paraId="31185589">
      <w:pPr>
        <w:ind w:firstLine="640" w:firstLineChars="200"/>
        <w:outlineLvl w:val="0"/>
        <w:rPr>
          <w:rFonts w:hint="default" w:ascii="楷体_GB2312" w:hAnsi="楷体_GB2312" w:eastAsia="楷体_GB2312" w:cs="楷体_GB2312"/>
          <w:lang w:val="en-US" w:eastAsia="zh-CN"/>
        </w:rPr>
      </w:pPr>
      <w:bookmarkStart w:id="166" w:name="_Toc25485"/>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健全育幼服务体系</w:t>
      </w:r>
      <w:bookmarkEnd w:id="166"/>
    </w:p>
    <w:p w14:paraId="1FCB9A3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快普惠托育服务体系建设，多渠道扩大服务资源供给。加强公办托位供给，支持幼儿园发展托幼一体化服务，鼓励招收2—3岁幼儿。支持社会力量提供多元化普惠托育服务，发展用人单位办托、社区嵌入式托育和家庭托育点等多种模式。深入开展托育服务补助示范试点，完善普惠托育服务价格形成机制。实施托育服务质量提升行动，提高托育服务安全性和规范性。加快托育服务立法。</w:t>
      </w:r>
    </w:p>
    <w:p w14:paraId="03769384">
      <w:pPr>
        <w:ind w:firstLine="640" w:firstLineChars="200"/>
        <w:outlineLvl w:val="0"/>
        <w:rPr>
          <w:rFonts w:hint="default" w:ascii="楷体_GB2312" w:hAnsi="楷体_GB2312" w:eastAsia="楷体_GB2312" w:cs="楷体_GB2312"/>
          <w:lang w:val="en-US" w:eastAsia="zh-CN"/>
        </w:rPr>
      </w:pPr>
      <w:bookmarkStart w:id="167" w:name="_Toc27171"/>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完善家庭发展政策和生育友好环境</w:t>
      </w:r>
      <w:bookmarkEnd w:id="167"/>
    </w:p>
    <w:p w14:paraId="28B0DBB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支持家庭发展的政策体系，提倡适龄婚育、优生优育和夫妻共担育儿责任。培育新型婚育文化，倡导积极婚育观，有效治理婚丧嫁娶中的陋习等问题。支持多子女家庭子女同校就读，住房保障和购房政策向多子女家庭倾斜。推动公共空间适儿化改造和母婴设施配备。实施家庭教育促进法，发挥社区家长学校等作用，加强家庭教育指导服务。健全计划生育特殊家庭全方位帮扶保障制度。加强出生人口性别比综合治理。完善人口监测体系和预测预警制度。</w:t>
      </w:r>
    </w:p>
    <w:p w14:paraId="3C74B64E">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68" w:name="_Toc22283"/>
      <w:r>
        <w:rPr>
          <w:rFonts w:hint="default" w:ascii="Times New Roman" w:hAnsi="Times New Roman" w:eastAsia="黑体" w:cs="Times New Roman"/>
          <w:color w:val="000000"/>
          <w:sz w:val="32"/>
          <w:lang w:val="en-US" w:eastAsia="zh-CN"/>
        </w:rPr>
        <w:t>第三十八章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办好人民满意的教育</w:t>
      </w:r>
      <w:bookmarkEnd w:id="168"/>
    </w:p>
    <w:p w14:paraId="3BE5C24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坚持教育优先发展，落实立德树人根本任务，深化教育综合改革，健全与人口变化相适应的教育资源配置机制，建设高质量教育体系，培养德智体美劳全面发展的社会主义建设者和接班人。</w:t>
      </w:r>
    </w:p>
    <w:p w14:paraId="7AB1FD38">
      <w:pPr>
        <w:ind w:firstLine="640" w:firstLineChars="200"/>
        <w:outlineLvl w:val="0"/>
        <w:rPr>
          <w:rFonts w:hint="default" w:ascii="楷体_GB2312" w:hAnsi="楷体_GB2312" w:eastAsia="楷体_GB2312" w:cs="楷体_GB2312"/>
          <w:lang w:val="en-US" w:eastAsia="zh-CN"/>
        </w:rPr>
      </w:pPr>
      <w:bookmarkStart w:id="169" w:name="_Toc25929"/>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实施新时代立德树人工程</w:t>
      </w:r>
      <w:bookmarkEnd w:id="169"/>
    </w:p>
    <w:p w14:paraId="2FB5D42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不懈用习近平新时代中国特色社会主义思想铸魂育人，加强“大思政课”建设，完善课程教材体系，全面实施新时代高校思政课课程方案，深入实施素质教育，促进学生健康成长、全面发展。创新实践育人形式，建设大学生社会实践专门课程，建立中小学校国情研学制度，促进思政课堂和社会课堂有效融合。实施学生体质强健计划，开展学校美育浸润行动、劳动习惯养成计划，普及心理健康教育。完善覆盖全学段学生资助体系。实施国家通用语言文字普及攻坚和质量提升行动。弘扬教育家精神，强化师德师风建设和教师待遇保障，实施教师教育能力提升工程，培养造就高水平教师队伍。健全学校家庭社会协同育人机制。深化教育评价改革，建立差异化管理和评价机制。引导规范民办教育发展。</w:t>
      </w:r>
    </w:p>
    <w:p w14:paraId="5463EC04">
      <w:pPr>
        <w:ind w:firstLine="640" w:firstLineChars="200"/>
        <w:outlineLvl w:val="0"/>
        <w:rPr>
          <w:rFonts w:hint="default" w:ascii="楷体_GB2312" w:hAnsi="楷体_GB2312" w:eastAsia="楷体_GB2312" w:cs="楷体_GB2312"/>
          <w:lang w:val="en-US" w:eastAsia="zh-CN"/>
        </w:rPr>
      </w:pPr>
      <w:bookmarkStart w:id="170" w:name="_Toc30432"/>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推进基础教育扩优提质</w:t>
      </w:r>
      <w:bookmarkEnd w:id="170"/>
    </w:p>
    <w:p w14:paraId="377B612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强基础教育资源跨学段动态调整和余缺调配，扩大学龄人口净流入城镇的教育资源供给。推进义务教育优质均衡发展，加强校长、教师区域内统筹调配、交流轮岗，有序推进小班化教学，办好必要的乡村小规模学校。推进学前教育优质普惠发展，提高公办幼儿园学位占比，学前教育毛入园率提高到95%。扩大普通高中办学资源，深入实施县域普通高中振兴计划，高中阶段教育完成率达到88%。稳步扩大免费教育范围，探索延长义务教育年限。有序推进中考改革，扩大优质高中招生指标到校比例，支持有条件的地方开展均衡派位招生试点。统筹推进“双减”和教育教学质量提升。健全特殊教育、专门教育保障机制。</w:t>
      </w:r>
    </w:p>
    <w:p w14:paraId="305D9EFD">
      <w:pPr>
        <w:ind w:firstLine="640" w:firstLineChars="200"/>
        <w:outlineLvl w:val="0"/>
        <w:rPr>
          <w:rFonts w:hint="default" w:ascii="楷体_GB2312" w:hAnsi="楷体_GB2312" w:eastAsia="楷体_GB2312" w:cs="楷体_GB2312"/>
          <w:lang w:val="en-US" w:eastAsia="zh-CN"/>
        </w:rPr>
      </w:pPr>
      <w:bookmarkStart w:id="171" w:name="_Toc7063"/>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推动高等教育提质扩容</w:t>
      </w:r>
      <w:bookmarkEnd w:id="171"/>
    </w:p>
    <w:p w14:paraId="3A62A20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按照研究型、应用型、技能型等基本办学定位，分类推进高校改革发展。以理工农医类专业为主有序扩大优质本科教育招生规模和研究生培养规模，高等教育毛入学率达到65%，稳步提高本科招生比例和研究生教育层次占高等教育在校生比例。大力发展专业学位研究生教育，提高工程硕博士培养比重。多渠道扩大优质高等教育资源，加大高水平研究型大学建设力度，建强应用型本科高校。新增高等教育资源适度向人口大省和中西部地区倾斜。研究适时调整本科生人均教育经费标准，持续改善学生宿舍等基本办学条件。扩大高水平教育对外开放，鼓励国外高水平理工类大学来华合作办学，加强“留学中国”品牌和能力建设。深入实施教育数字化战略。优化终身学习公共服务，完善国家开放大学体系。</w:t>
      </w:r>
    </w:p>
    <w:p w14:paraId="1E900D28">
      <w:pPr>
        <w:ind w:firstLine="640" w:firstLineChars="200"/>
        <w:outlineLvl w:val="0"/>
        <w:rPr>
          <w:rFonts w:hint="default" w:ascii="楷体_GB2312" w:hAnsi="楷体_GB2312" w:eastAsia="楷体_GB2312" w:cs="楷体_GB2312"/>
          <w:lang w:val="en-US" w:eastAsia="zh-CN"/>
        </w:rPr>
      </w:pPr>
      <w:bookmarkStart w:id="172" w:name="_Toc13738"/>
      <w:r>
        <w:rPr>
          <w:rFonts w:hint="default" w:ascii="楷体_GB2312" w:hAnsi="楷体_GB2312" w:eastAsia="楷体_GB2312" w:cs="楷体_GB2312"/>
          <w:lang w:val="en-US" w:eastAsia="zh-CN"/>
        </w:rPr>
        <w:t>第四节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提升职业学校办学能力</w:t>
      </w:r>
      <w:bookmarkEnd w:id="172"/>
    </w:p>
    <w:p w14:paraId="738118F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进现代职业教育体系建设，提高职业教育办学质量和吸引力。优化与区域发展相协调、与产业布局相衔接的职业教育布局，推动专业设置紧密对接产业链创新链需求。深化中等职业教育改革，办好少而精的中等职业学校，建设特色鲜明高等职业学校，支持中高职一体化发展。建设一批高水平本科层次职业学校，推动职业教育本科与专业学位教育融合贯通。实行产教融合的人才培养模式，健全德技并修、工学结合育人机制，鼓励行业龙头企业举办或参与举办职业学校。</w:t>
      </w:r>
    </w:p>
    <w:p w14:paraId="697A345B">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73" w:name="_Toc20665"/>
      <w:r>
        <w:rPr>
          <w:rFonts w:hint="default" w:ascii="Times New Roman" w:hAnsi="Times New Roman" w:eastAsia="黑体" w:cs="Times New Roman"/>
          <w:color w:val="000000"/>
          <w:sz w:val="32"/>
          <w:lang w:val="en-US" w:eastAsia="zh-CN"/>
        </w:rPr>
        <w:t>第三十九章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加快建设健康中国</w:t>
      </w:r>
      <w:bookmarkEnd w:id="173"/>
    </w:p>
    <w:p w14:paraId="1D6806C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实施健康优先发展战略，健全健康促进政策制度体系，提升爱国卫生运动成效，推动从以治病为中心向以健康为中心转变，为人民群众提供公平可及、系统连续的健康服务，提高人民健康水平。</w:t>
      </w:r>
    </w:p>
    <w:p w14:paraId="72EF659C">
      <w:pPr>
        <w:ind w:firstLine="640" w:firstLineChars="200"/>
        <w:outlineLvl w:val="0"/>
        <w:rPr>
          <w:rFonts w:hint="default" w:ascii="楷体_GB2312" w:hAnsi="楷体_GB2312" w:eastAsia="楷体_GB2312" w:cs="楷体_GB2312"/>
          <w:lang w:val="en-US" w:eastAsia="zh-CN"/>
        </w:rPr>
      </w:pPr>
      <w:bookmarkStart w:id="174" w:name="_Toc32226"/>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健全公共卫生体系</w:t>
      </w:r>
      <w:bookmarkEnd w:id="174"/>
    </w:p>
    <w:p w14:paraId="06C2767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公共卫生能力，深化社会共治、医防协同、医防融合，建立健全传染病预防控制、应急处置、医疗救治、物资保障和监督管理体系。加强疾控体系建设，提升传染病监测预警和流行病学调查能力，完善公共卫生实验室网络，建设分级分层分流救治体系。加强重大传染病防控，完善联防联控机制。动态优化国家免疫规划疫苗种类。健全紧急医学救援和院前急救体系，提升血液保障和应急能力。加强心理健康和精神卫生服务，强化重点人群常见精神障碍和心理问题早期发现与综合干预。加强职业病防治。实施合理膳食行动与国民营养计划，持续开展健康体重管理行动。</w:t>
      </w:r>
    </w:p>
    <w:p w14:paraId="239ABB15">
      <w:pPr>
        <w:ind w:firstLine="640" w:firstLineChars="200"/>
        <w:outlineLvl w:val="0"/>
        <w:rPr>
          <w:rFonts w:hint="default" w:ascii="楷体_GB2312" w:hAnsi="楷体_GB2312" w:eastAsia="楷体_GB2312" w:cs="楷体_GB2312"/>
          <w:lang w:val="en-US" w:eastAsia="zh-CN"/>
        </w:rPr>
      </w:pPr>
      <w:bookmarkStart w:id="175" w:name="_Toc3287"/>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建设优质高效医疗服务体系</w:t>
      </w:r>
      <w:bookmarkEnd w:id="175"/>
    </w:p>
    <w:p w14:paraId="2E0E016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优化医疗机构功能定位和布局，完善分级诊疗体系。促进优质医疗资源扩容下沉和区域均衡布局，稳步有序推进国家医学中心建设，推动国家区域医疗中心提质增效。实施医疗卫生强基工程，加强县区、基层医疗机构运行保障，基本实现县域医共体全覆盖、提升紧密性协同性，推进紧密型城市医疗集团建设，健全巡回医疗制度，提高家庭医生服务覆盖率和感受度，提升基层医疗卫生机构诊疗量占比、合理增加药品品种配备。加强慢性病综合防控，发展防治康管全链条服务，健全早筛早诊早治体系，重大慢性病过早死亡率下降到13%以下。扩大康复护理、安宁疗护服务供给，实施康复护理扩容提升工程。加强全科医生、执业医师和护士队伍建设，提高住院医师规范化培训水平。推进全民健康数智化建设，推动检验检查结果共享互认。</w:t>
      </w:r>
    </w:p>
    <w:p w14:paraId="36FB0665">
      <w:pPr>
        <w:ind w:firstLine="640" w:firstLineChars="200"/>
        <w:outlineLvl w:val="0"/>
        <w:rPr>
          <w:rFonts w:hint="default" w:ascii="楷体_GB2312" w:hAnsi="楷体_GB2312" w:eastAsia="楷体_GB2312" w:cs="楷体_GB2312"/>
          <w:lang w:val="en-US" w:eastAsia="zh-CN"/>
        </w:rPr>
      </w:pPr>
      <w:bookmarkStart w:id="176" w:name="_Toc10330"/>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健全医疗医保医药协同发展和治理机制</w:t>
      </w:r>
      <w:bookmarkEnd w:id="176"/>
    </w:p>
    <w:p w14:paraId="17F3D01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医药卫生体制改革，促进目标统一、政策衔接、信息联通、监管联动。以公益性为导向深化公立医院改革，建立公立医院编制动态调整机制，健全以医疗服务为主导的收费机制，完善薪酬制度，规范医疗机构和医务人员执业行为，加强医疗卫生领域法治保障。引导规范民营医院发展。深化医保支付方式改革，优化结余资金使用，完善不同层级医疗机构差异化支付政策，减轻参保者个人费用负担，提高医保基金使用效率。健全药品价格形成机制，完善药品和医用耗材集中采购政策。优化创新药和临床急需药品审评审批，健全医保支持创新药和医疗器械高质量发展机制，完善创新药目录，鼓励商业保险扩大创新药支付范围。</w:t>
      </w:r>
    </w:p>
    <w:p w14:paraId="6F06C764">
      <w:pPr>
        <w:ind w:firstLine="640" w:firstLineChars="200"/>
        <w:outlineLvl w:val="0"/>
        <w:rPr>
          <w:rFonts w:hint="default" w:ascii="楷体_GB2312" w:hAnsi="楷体_GB2312" w:eastAsia="楷体_GB2312" w:cs="楷体_GB2312"/>
          <w:lang w:val="en-US" w:eastAsia="zh-CN"/>
        </w:rPr>
      </w:pPr>
      <w:bookmarkStart w:id="177" w:name="_Toc6555"/>
      <w:r>
        <w:rPr>
          <w:rFonts w:hint="default" w:ascii="楷体_GB2312" w:hAnsi="楷体_GB2312" w:eastAsia="楷体_GB2312" w:cs="楷体_GB2312"/>
          <w:lang w:val="en-US" w:eastAsia="zh-CN"/>
        </w:rPr>
        <w:t>第四节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推进中医药传承创新</w:t>
      </w:r>
      <w:bookmarkEnd w:id="177"/>
    </w:p>
    <w:p w14:paraId="679F87A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推动中医药振兴发展，促进中西医结合。健全中医药服务体系，提升基层中医药服务能力，加强中医优势专科建设，发展中西医协同服务。促进中医药科技创新，实施中医药特色人才培养工程。加强中药资源保护利用和道地药材生产基地建设，加强中药制剂、经典名方发掘转化，提高中药质量，做大做强中医药产业。推进符合中医药特点的医保支付方式改革。弘扬中医药文化，推动中医药走向世界。</w:t>
      </w:r>
    </w:p>
    <w:p w14:paraId="5DCA8DFE">
      <w:pPr>
        <w:ind w:firstLine="640" w:firstLineChars="200"/>
        <w:outlineLvl w:val="0"/>
        <w:rPr>
          <w:rFonts w:hint="default" w:ascii="楷体_GB2312" w:hAnsi="楷体_GB2312" w:eastAsia="楷体_GB2312" w:cs="楷体_GB2312"/>
          <w:lang w:val="en-US" w:eastAsia="zh-CN"/>
        </w:rPr>
      </w:pPr>
      <w:bookmarkStart w:id="178" w:name="_Toc25517"/>
      <w:r>
        <w:rPr>
          <w:rFonts w:hint="default" w:ascii="楷体_GB2312" w:hAnsi="楷体_GB2312" w:eastAsia="楷体_GB2312" w:cs="楷体_GB2312"/>
          <w:lang w:val="en-US" w:eastAsia="zh-CN"/>
        </w:rPr>
        <w:t>第五节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加快建设体育强国</w:t>
      </w:r>
      <w:bookmarkEnd w:id="178"/>
    </w:p>
    <w:p w14:paraId="55AF5BF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积极发展群众体育，广泛开展全民健身活动，强化青少年健身普及，经常参加体育锻炼人数比例达到40%左右。完善全民健身公共服务体系，加强群众身边的场地设施布局建设。改革完善竞技体育管理体制和运行机制，加强后备人才培养和体育科技装备研发，提高竞技体育综合实力。高质量备战重大国际赛事，办好全运会。推进“三大球”振兴发展，深化足球领域改革。丰富优质体育产品和服务供给，鼓励发展赛事经济，推进水域、空域、山地等向户外运动安全有序开放，持续巩固和扩大“带动三亿人参与冰雪运动”成果，推动体育产业高质量发展。</w:t>
      </w:r>
    </w:p>
    <w:p w14:paraId="6A66AC5C">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79" w:name="_Toc12388"/>
      <w:r>
        <w:rPr>
          <w:rFonts w:hint="default" w:ascii="Times New Roman" w:hAnsi="Times New Roman" w:eastAsia="黑体" w:cs="Times New Roman"/>
          <w:color w:val="000000"/>
          <w:sz w:val="32"/>
          <w:lang w:val="en-US" w:eastAsia="zh-CN"/>
        </w:rPr>
        <w:t>第四十章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积极应对人口老龄化</w:t>
      </w:r>
      <w:bookmarkEnd w:id="179"/>
    </w:p>
    <w:p w14:paraId="6989F1D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深入实施积极应对人口老龄化国家战略，健全养老事业和产业协同发展政策机制，促进老有所养、老有所为、老有所乐。</w:t>
      </w:r>
    </w:p>
    <w:p w14:paraId="4E924963">
      <w:pPr>
        <w:ind w:firstLine="640" w:firstLineChars="200"/>
        <w:outlineLvl w:val="0"/>
        <w:rPr>
          <w:rFonts w:hint="default" w:ascii="楷体_GB2312" w:hAnsi="楷体_GB2312" w:eastAsia="楷体_GB2312" w:cs="楷体_GB2312"/>
          <w:lang w:val="en-US" w:eastAsia="zh-CN"/>
        </w:rPr>
      </w:pPr>
      <w:bookmarkStart w:id="180" w:name="_Toc31785"/>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完善城乡养老服务网络</w:t>
      </w:r>
      <w:bookmarkEnd w:id="180"/>
    </w:p>
    <w:p w14:paraId="7792C5D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规划养老服务设施布局，优化基本养老服务供给，推动养老服务扩容提质增效。深化养老服务改革发展，有序推进养老机构分类改革。发展社区嵌入式养老服务，培育专业化、品牌化、连锁化社区养老服务机构。发展家庭养老床位，推进居家适老化改造。发展互助性养老服务。健全失能失智老年人照护体系，增加养老机构护理型床位供给，积极推进医养结合。推行长期护理保险，健全统一的老年人能力评估制度。推进养老服务人员队伍职业化建设，提升养老服务综合监管质效。加强高龄独居老人和空巢老人关爱帮扶。</w:t>
      </w:r>
    </w:p>
    <w:p w14:paraId="02291EE4">
      <w:pPr>
        <w:ind w:firstLine="640" w:firstLineChars="200"/>
        <w:outlineLvl w:val="0"/>
        <w:rPr>
          <w:rFonts w:hint="default" w:ascii="楷体_GB2312" w:hAnsi="楷体_GB2312" w:eastAsia="楷体_GB2312" w:cs="楷体_GB2312"/>
          <w:lang w:val="en-US" w:eastAsia="zh-CN"/>
        </w:rPr>
      </w:pPr>
      <w:bookmarkStart w:id="181" w:name="_Toc11021"/>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营造丰富多彩的老年生活</w:t>
      </w:r>
      <w:bookmarkEnd w:id="181"/>
    </w:p>
    <w:p w14:paraId="70F9462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把积极老龄观、健康老龄化融入经济社会发展全过程，深入开展人口老龄化国情教育，营造孝老敬老社会环境。大力发展银发经济，丰富适老化产品和老年服务供给，培育银发经济龙头企业和知名品牌，探索建立银发产品认证制度，完善银发经济统计。积极开发老年人力资源，稳妥实施渐进式延迟法定退休年龄，优化就业、社保等方面年龄限制政策，拓展适合老年人的多样化工作岗位，深入开展“银龄行动”。扩大老年教育资源供给，发展老年大学，满足老年人精神文化需求。强化老年人优待和权益保障。加强公共设施适老化改造，持续开展“智慧助老”行动，推动涉老高频事项便捷办理和服务场景简便易用，发展综合为老服务。</w:t>
      </w:r>
    </w:p>
    <w:p w14:paraId="0EBF038F">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182" w:name="_Toc12277"/>
      <w:r>
        <w:rPr>
          <w:rFonts w:hint="default" w:ascii="方正小标宋简体" w:hAnsi="方正小标宋简体" w:eastAsia="方正小标宋简体" w:cs="方正小标宋简体"/>
          <w:sz w:val="40"/>
          <w:szCs w:val="40"/>
          <w:lang w:val="en-US" w:eastAsia="zh-CN"/>
        </w:rPr>
        <w:t>第十二篇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加大保障和改善民生力度</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扎实推进全体人民共同富裕</w:t>
      </w:r>
      <w:bookmarkEnd w:id="182"/>
    </w:p>
    <w:p w14:paraId="4A5410B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在高质量发展中保障和改善民生，坚持尽力而为、量力而行，健全基本公共服务体系，实施更加公平普惠、精准有力的社会政策，加强普惠性、基础性、兜底性民生建设，解决好人民群众急难愁盼问题，畅通社会流动渠道，提高人民生活品质。</w:t>
      </w:r>
    </w:p>
    <w:p w14:paraId="14075AD3">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83" w:name="_Toc21492"/>
      <w:r>
        <w:rPr>
          <w:rFonts w:hint="default" w:ascii="Times New Roman" w:hAnsi="Times New Roman" w:eastAsia="黑体" w:cs="Times New Roman"/>
          <w:color w:val="000000"/>
          <w:sz w:val="32"/>
          <w:lang w:val="en-US" w:eastAsia="zh-CN"/>
        </w:rPr>
        <w:t>第四十一章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促进高质量充分就业</w:t>
      </w:r>
      <w:bookmarkEnd w:id="183"/>
    </w:p>
    <w:p w14:paraId="5A501E4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深入实施就业优先战略，坚持扩大就业容量和提升就业质量相结合，健全就业促进机制，构建就业友好型发展方式。</w:t>
      </w:r>
    </w:p>
    <w:p w14:paraId="626E7749">
      <w:pPr>
        <w:ind w:firstLine="640" w:firstLineChars="200"/>
        <w:outlineLvl w:val="0"/>
        <w:rPr>
          <w:rFonts w:hint="default" w:ascii="楷体_GB2312" w:hAnsi="楷体_GB2312" w:eastAsia="楷体_GB2312" w:cs="楷体_GB2312"/>
          <w:lang w:val="en-US" w:eastAsia="zh-CN"/>
        </w:rPr>
      </w:pPr>
      <w:bookmarkStart w:id="184" w:name="_Toc22916"/>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强化就业优先政策</w:t>
      </w:r>
      <w:bookmarkEnd w:id="184"/>
    </w:p>
    <w:p w14:paraId="054047A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把高质量充分就业作为经济社会发展的优先目标，健全重大政策、重大项目、重大生产力布局就业影响评估机制。加强产业和就业协同，实施稳岗扩容提质行动，对外贸、建筑、住宿、餐饮等吸纳就业多的行业企业持续强化政策支持，充分挖掘服务业、新兴领域吸纳就业潜能，推动灵活就业、新就业形态健康发展。稳定和扩大高校毕业生、农民工、退役军人等重点群体就业。加强困难群体就业帮扶，促进失业人员再就业，确保零就业家庭至少一人实现就业。加大创业支持力度，增强创业带动就业效应。综合应对外部环境变化和人工智能等新技术发展对就业的影响。建立高质量充分就业评价体系。</w:t>
      </w:r>
    </w:p>
    <w:p w14:paraId="132B5F9D">
      <w:pPr>
        <w:ind w:firstLine="640" w:firstLineChars="200"/>
        <w:outlineLvl w:val="0"/>
        <w:rPr>
          <w:rFonts w:hint="default" w:ascii="楷体_GB2312" w:hAnsi="楷体_GB2312" w:eastAsia="楷体_GB2312" w:cs="楷体_GB2312"/>
          <w:lang w:val="en-US" w:eastAsia="zh-CN"/>
        </w:rPr>
      </w:pPr>
      <w:bookmarkStart w:id="185" w:name="_Toc5919"/>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大规模开展职业技能培训</w:t>
      </w:r>
      <w:bookmarkEnd w:id="185"/>
    </w:p>
    <w:p w14:paraId="1D8E409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人力资源供需匹配机制，健全终身职业技能培训制度，着力解决结构性就业矛盾。以市场化培训为主导、行业企业自主培训为主体，充分发挥院校、社会化培训机构等优势作用，扩大高质量培训供给。统筹用好就业补助资金和失业保险基金等支持职业技能培训，指导企业按规定足额提取和使用职工教育经费。推进培训补贴直达企业和参训者，实行未就业重点群体培训补贴申领制。完善职业分类、职业标准和技能人才评价制度，深入实施“新八级工”职业技能等级制度，构建国家资历框架体系。办好世界技能大赛。</w:t>
      </w:r>
    </w:p>
    <w:p w14:paraId="6C981528">
      <w:pPr>
        <w:ind w:firstLine="640" w:firstLineChars="200"/>
        <w:outlineLvl w:val="0"/>
        <w:rPr>
          <w:rFonts w:hint="default" w:ascii="楷体_GB2312" w:hAnsi="楷体_GB2312" w:eastAsia="楷体_GB2312" w:cs="楷体_GB2312"/>
          <w:lang w:val="en-US" w:eastAsia="zh-CN"/>
        </w:rPr>
      </w:pPr>
      <w:bookmarkStart w:id="186" w:name="_Toc19097"/>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加强就业服务和劳动者权益保障</w:t>
      </w:r>
      <w:bookmarkEnd w:id="186"/>
    </w:p>
    <w:p w14:paraId="2E2A9CE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就业支持和公共服务体系，营造公平有序就业环境。完善劳动标准体系和劳动关系协商协调机制，健全灵活就业、新就业形态劳动者权益保障制度，推动平台企业公平制定劳动规则、依法合规用工，构建和谐劳动关系。加快流动人员档案服务数智化。强化择业和用人观念引导。完善劳动就业法规体系，提升劳动关系矛盾调解仲裁效能，健全劳动保障监察体制，督促企业依法落实工时制度，有效治理就业歧视、欠薪欠保、违法裁员等。健全就业失业统计监测和风险预警体系，完善规模性失业风险防范化解机制。</w:t>
      </w:r>
    </w:p>
    <w:p w14:paraId="4CA8B829">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87" w:name="_Toc9657"/>
      <w:r>
        <w:rPr>
          <w:rFonts w:hint="default" w:ascii="Times New Roman" w:hAnsi="Times New Roman" w:eastAsia="黑体" w:cs="Times New Roman"/>
          <w:color w:val="000000"/>
          <w:sz w:val="32"/>
          <w:lang w:val="en-US" w:eastAsia="zh-CN"/>
        </w:rPr>
        <w:t>第四十二章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完善收入分配制度</w:t>
      </w:r>
      <w:bookmarkEnd w:id="187"/>
    </w:p>
    <w:p w14:paraId="0694FDC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坚持按劳分配为主体、多种分配方式并存，完善初次分配、再分配、第三次分配协调配套的制度体系，提高居民收入在国民收入分配中的比重，提高劳动报酬在初次分配中的比重。</w:t>
      </w:r>
    </w:p>
    <w:p w14:paraId="15E1853B">
      <w:pPr>
        <w:ind w:firstLine="640" w:firstLineChars="200"/>
        <w:outlineLvl w:val="0"/>
        <w:rPr>
          <w:rFonts w:hint="default" w:ascii="楷体_GB2312" w:hAnsi="楷体_GB2312" w:eastAsia="楷体_GB2312" w:cs="楷体_GB2312"/>
          <w:lang w:val="en-US" w:eastAsia="zh-CN"/>
        </w:rPr>
      </w:pPr>
      <w:bookmarkStart w:id="188" w:name="_Toc17506"/>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优化初次分配格局</w:t>
      </w:r>
      <w:bookmarkEnd w:id="188"/>
    </w:p>
    <w:p w14:paraId="555AAB7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深化国有企业工资决定机制改革，完善机关事业单位工资和津补贴制度，加大工资分配向基层一线和艰苦地区倾斜力度。完善企业薪酬调查和信息发布制度。多渠道增加城乡居民财产性收入，健全上市公司分红激励约束机制，丰富满足居民财富管理需求的金融产品和服务，提高农民土地增值收益分享比例。强化以增加知识价值为导向的分配政策，允许更多符合条件的国有企业以创新创造为导向在科研人员中开展多种形式中长期激励，加快构建技能导向的薪酬分配制度。</w:t>
      </w:r>
    </w:p>
    <w:p w14:paraId="5FE346B4">
      <w:pPr>
        <w:ind w:firstLine="640" w:firstLineChars="200"/>
        <w:outlineLvl w:val="0"/>
        <w:rPr>
          <w:rFonts w:hint="default" w:ascii="楷体_GB2312" w:hAnsi="楷体_GB2312" w:eastAsia="楷体_GB2312" w:cs="楷体_GB2312"/>
          <w:lang w:val="en-US" w:eastAsia="zh-CN"/>
        </w:rPr>
      </w:pPr>
      <w:bookmarkStart w:id="189" w:name="_Toc26168"/>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加大收入分配调节力度</w:t>
      </w:r>
      <w:bookmarkEnd w:id="189"/>
    </w:p>
    <w:p w14:paraId="0B55A00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强税收、社会保障、转移支付等再分配调节，优化收入分配格局。加大税收调节力度和精准性，健全自然人税费服务和监管体系，实行劳动性所得统一征税。充分发挥专项附加扣除政策作用，加大个人所得税抵扣力度。探索完善资本利得税收调节机制，加强对高收入者税收监管。强化社会保障互助共济功能，逐步缩小制度间、区域间筹资和待遇保障差距。优化转移支付功能定位，强化一般性转移支付对缩小区域间财力差距的调节功能。健全赈灾赈济制度。更好发挥第三次分配作用，促进和规范公益慈善事业发展，探索慈善有效实现形式。</w:t>
      </w:r>
    </w:p>
    <w:p w14:paraId="0E29CF6D">
      <w:pPr>
        <w:ind w:firstLine="640" w:firstLineChars="200"/>
        <w:outlineLvl w:val="0"/>
        <w:rPr>
          <w:rFonts w:hint="default" w:ascii="楷体_GB2312" w:hAnsi="楷体_GB2312" w:eastAsia="楷体_GB2312" w:cs="楷体_GB2312"/>
          <w:lang w:val="en-US" w:eastAsia="zh-CN"/>
        </w:rPr>
      </w:pPr>
      <w:bookmarkStart w:id="190" w:name="_Toc7543"/>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稳步扩大中等收入群体规模</w:t>
      </w:r>
      <w:bookmarkEnd w:id="190"/>
    </w:p>
    <w:p w14:paraId="5EBB8F3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制定实施城乡居民增收计划，有效增加低收入群体收入，提高中等收入群体比重，推动形成橄榄型分配格局。聚焦重点群体精准实施增收政策，提高高校毕业生就业匹配度，推动技术工人薪酬和技能“双提升”，全面落实农民工工资支付保障制度，多措并举促进中小企业主和个体工商户稳定经营，积极培养高素质农民和农村致富带头人，提高增收致富能力。规范收入分配秩序和财富积累机制，支持勤劳创新合法致富，鼓励先富带后富促共富，合理调节过高收入，取缔非法收入。</w:t>
      </w:r>
    </w:p>
    <w:p w14:paraId="306A9B11">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91" w:name="_Toc7910"/>
      <w:r>
        <w:rPr>
          <w:rFonts w:hint="default" w:ascii="Times New Roman" w:hAnsi="Times New Roman" w:eastAsia="黑体" w:cs="Times New Roman"/>
          <w:color w:val="000000"/>
          <w:sz w:val="32"/>
          <w:lang w:val="en-US" w:eastAsia="zh-CN"/>
        </w:rPr>
        <w:t>第四十三章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健全社会保障体系</w:t>
      </w:r>
      <w:bookmarkEnd w:id="191"/>
    </w:p>
    <w:p w14:paraId="2BF39C2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以强化重点群体保障、增强制度可持续性为重点，健全覆盖全民、统筹城乡、公平统一、安全规范、可持续的多层次社会保障体系。</w:t>
      </w:r>
    </w:p>
    <w:p w14:paraId="6612D728">
      <w:pPr>
        <w:ind w:firstLine="640" w:firstLineChars="200"/>
        <w:outlineLvl w:val="0"/>
        <w:rPr>
          <w:rFonts w:hint="default" w:ascii="楷体_GB2312" w:hAnsi="楷体_GB2312" w:eastAsia="楷体_GB2312" w:cs="楷体_GB2312"/>
          <w:lang w:val="en-US" w:eastAsia="zh-CN"/>
        </w:rPr>
      </w:pPr>
      <w:bookmarkStart w:id="192" w:name="_Toc27839"/>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稳步提高社会保障水平</w:t>
      </w:r>
      <w:bookmarkEnd w:id="192"/>
    </w:p>
    <w:p w14:paraId="27A1BBD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实施高质量参保行动，持续扩大社会保险覆盖面。加快发展多层次、多支柱养老保险体系，健全待遇确定和调整机制，逐步提高城乡居民基础养老金，退休人员基本养老金调整向待遇较低群体倾斜，扩大企业年金覆盖范围，完善个人养老金政策，大力发展商业养老保险。健全多层次医疗保障体系，完善异地就医结算，充分发挥商业医疗保险补充保障作用。提高灵活就业人员、农民工、新就业形态人员参保率，合理确定缴费基数，明晰用工方和平台企业缴费责任。扩大失业、工伤等社会保险覆盖面，建立健全职业伤害保障制度。完善社保关系转移接续政策，提高养老保险关系转移接续效率。优化全国统一的社保公共服务平台和经办管理服务。</w:t>
      </w:r>
    </w:p>
    <w:p w14:paraId="03F7CBD1">
      <w:pPr>
        <w:ind w:firstLine="640" w:firstLineChars="200"/>
        <w:outlineLvl w:val="0"/>
        <w:rPr>
          <w:rFonts w:hint="default" w:ascii="楷体_GB2312" w:hAnsi="楷体_GB2312" w:eastAsia="楷体_GB2312" w:cs="楷体_GB2312"/>
          <w:lang w:val="en-US" w:eastAsia="zh-CN"/>
        </w:rPr>
      </w:pPr>
      <w:bookmarkStart w:id="193" w:name="_Toc30133"/>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增强社会保险体系可持续性</w:t>
      </w:r>
      <w:bookmarkEnd w:id="193"/>
    </w:p>
    <w:p w14:paraId="709D26E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社会保险精算制度，完善社保基金长效筹集、统筹调剂、保值增值和安全监管机制。做优做强社会保障战略储备基金，继续划转国有资本充实社保基金。加强参保缴费激励，鼓励有条件的集体经济组织等补助城乡居民参保缴费，合理提高城乡居民基本医疗保险财政补助标准。完善并落实基本养老保险全国统筹制度，基本实现基本医疗保险省级统筹，巩固失业、工伤保险省级统筹。完善社保基金投资政策和监管体系，加强信息披露和绩效评价，强化医保基金监管。</w:t>
      </w:r>
    </w:p>
    <w:p w14:paraId="3033FC34">
      <w:pPr>
        <w:ind w:firstLine="640" w:firstLineChars="200"/>
        <w:outlineLvl w:val="0"/>
        <w:rPr>
          <w:rFonts w:hint="default" w:ascii="楷体_GB2312" w:hAnsi="楷体_GB2312" w:eastAsia="楷体_GB2312" w:cs="楷体_GB2312"/>
          <w:lang w:val="en-US" w:eastAsia="zh-CN"/>
        </w:rPr>
      </w:pPr>
      <w:bookmarkStart w:id="194" w:name="_Toc2181"/>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健全社会救助体系</w:t>
      </w:r>
      <w:bookmarkEnd w:id="194"/>
    </w:p>
    <w:p w14:paraId="26A6D8F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分层分类、城乡统筹的社会救助体系。完善基本生活救助制度和专项救助制度，动态调整社会救助标准，加强低保边缘家庭、刚性支出困难家庭救助。积极发展服务类社会救助，加强各类社会救助政策统筹衔接。健全临时救助制度，全面推进由急难发生地直接实施救助。健全救助对象认定监测机制，加强救助体系与其他政策有效衔接，激发救助对象脱困解困内生动力。</w:t>
      </w:r>
    </w:p>
    <w:p w14:paraId="24160A9E">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95" w:name="_Toc30576"/>
      <w:r>
        <w:rPr>
          <w:rFonts w:hint="default" w:ascii="Times New Roman" w:hAnsi="Times New Roman" w:eastAsia="黑体" w:cs="Times New Roman"/>
          <w:color w:val="000000"/>
          <w:sz w:val="32"/>
          <w:lang w:val="en-US" w:eastAsia="zh-CN"/>
        </w:rPr>
        <w:t>第四十四章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推动房地产高质量发展</w:t>
      </w:r>
      <w:bookmarkEnd w:id="195"/>
    </w:p>
    <w:p w14:paraId="414EDEF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加快构建房地产发展新模式，健全多主体供给、多渠道保障、租购并举的住房制度，实现更高水平住有所居。</w:t>
      </w:r>
    </w:p>
    <w:p w14:paraId="7D667578">
      <w:pPr>
        <w:ind w:firstLine="640" w:firstLineChars="200"/>
        <w:outlineLvl w:val="0"/>
        <w:rPr>
          <w:rFonts w:hint="default" w:ascii="楷体_GB2312" w:hAnsi="楷体_GB2312" w:eastAsia="楷体_GB2312" w:cs="楷体_GB2312"/>
          <w:lang w:val="en-US" w:eastAsia="zh-CN"/>
        </w:rPr>
      </w:pPr>
      <w:bookmarkStart w:id="196" w:name="_Toc25420"/>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完善住房保障体系</w:t>
      </w:r>
      <w:bookmarkEnd w:id="196"/>
    </w:p>
    <w:p w14:paraId="71CDCC7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优化保障性住房供给，强化城镇低收入住房困难家庭住房保障，更好满足住房困难且收入不高的工薪群体基本住房需求，逐步解决新市民、青年等群体的阶段性住房困难。加强保障性住房全流程管理，健全申请、轮候、配租配售、使用、退出等管理机制。探索配租型、配售型保障性住房房源有序转换和统筹使用。深化住房公积金制度改革，扩大使用范围，支持灵活就业人员参加住房公积金制度。</w:t>
      </w:r>
    </w:p>
    <w:p w14:paraId="6702C54B">
      <w:pPr>
        <w:ind w:firstLine="640" w:firstLineChars="200"/>
        <w:outlineLvl w:val="0"/>
        <w:rPr>
          <w:rFonts w:hint="default" w:ascii="楷体_GB2312" w:hAnsi="楷体_GB2312" w:eastAsia="楷体_GB2312" w:cs="楷体_GB2312"/>
          <w:lang w:val="en-US" w:eastAsia="zh-CN"/>
        </w:rPr>
      </w:pPr>
      <w:bookmarkStart w:id="197" w:name="_Toc10706"/>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推动房地产市场平稳健康发展</w:t>
      </w:r>
      <w:bookmarkEnd w:id="197"/>
    </w:p>
    <w:p w14:paraId="1A0EB89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商品房开发、融资、销售等基础制度。推行房地产开发项目公司制和融资主办银行制，支持满足房地产合理融资需求，有力有序推进现房销售。合理安排房地产用地规模和布局，促进土地供应与存量住房、人口变动等相协调。充分赋予城市政府房地产市场调控自主权。推动已供未开发土地和在建项目分类处置，推进存量商品房和闲置商业办公用房盘活利用。因城施策增加改善性住房供给。建设安全舒适绿色智慧的“好房子”，实施房屋品质提升工程和物业服务质量提升行动。规范发展住房租赁市场，培育市场化专业化租赁企业。建立房屋全生命周期安全管理制度。</w:t>
      </w:r>
    </w:p>
    <w:p w14:paraId="296B6EFE">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198" w:name="_Toc23582"/>
      <w:r>
        <w:rPr>
          <w:rFonts w:hint="default" w:ascii="Times New Roman" w:hAnsi="Times New Roman" w:eastAsia="黑体" w:cs="Times New Roman"/>
          <w:color w:val="000000"/>
          <w:sz w:val="32"/>
          <w:lang w:val="en-US" w:eastAsia="zh-CN"/>
        </w:rPr>
        <w:t>第四十五章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稳步推进基本公共服务均等化</w:t>
      </w:r>
      <w:bookmarkEnd w:id="198"/>
    </w:p>
    <w:p w14:paraId="6B0370B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增强基本公共服务均衡性和可及性，推动基本公共服务均等化取得更为明显的实质性进展。</w:t>
      </w:r>
    </w:p>
    <w:p w14:paraId="6527D012">
      <w:pPr>
        <w:ind w:firstLine="640" w:firstLineChars="200"/>
        <w:outlineLvl w:val="0"/>
        <w:rPr>
          <w:rFonts w:hint="default" w:ascii="楷体_GB2312" w:hAnsi="楷体_GB2312" w:eastAsia="楷体_GB2312" w:cs="楷体_GB2312"/>
          <w:lang w:val="en-US" w:eastAsia="zh-CN"/>
        </w:rPr>
      </w:pPr>
      <w:bookmarkStart w:id="199" w:name="_Toc1809"/>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建立基本公共服务均等化制度体系</w:t>
      </w:r>
      <w:bookmarkEnd w:id="199"/>
    </w:p>
    <w:p w14:paraId="31A3FE4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制定实施基本公共服务均等化规划和政策，加快实现常住人口同等享有基本公共服务，有序推进县域范围内城乡基本公共服务均衡发展，逐步缩小区域基本公共服务资源差距。以享有机会公平、效果大致相当为导向，建立基本公共服务均等化评价标准体系，分领域细化评价标准，探索开展均等化实现程度评价。聚焦幼有所育、学有所教、劳有所得、病有所医、老有所养、住有所居、弱有所扶等领域，完善基本公共服务范围和内容，适时纳入群众急需的服务项目，动态调整国家标准，加强区域间标准统筹。推动更多公共服务向基层下沉、向农村覆盖、向边远地区和生活困难群众倾斜。加强县域基本公共服务供给统筹，完善投入保障长效机制。</w:t>
      </w:r>
    </w:p>
    <w:p w14:paraId="07371899">
      <w:pPr>
        <w:ind w:firstLine="640" w:firstLineChars="200"/>
        <w:outlineLvl w:val="0"/>
        <w:rPr>
          <w:rFonts w:hint="default" w:ascii="楷体_GB2312" w:hAnsi="楷体_GB2312" w:eastAsia="楷体_GB2312" w:cs="楷体_GB2312"/>
          <w:lang w:val="en-US" w:eastAsia="zh-CN"/>
        </w:rPr>
      </w:pPr>
      <w:bookmarkStart w:id="200" w:name="_Toc1637"/>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全面推进常住地提供基本公共服务</w:t>
      </w:r>
      <w:bookmarkEnd w:id="200"/>
    </w:p>
    <w:p w14:paraId="39A54F5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与常住人口相匹配的公共资源配置机制。在人口集中流入城市，规范实施以就业居住年限为主要条件的紧缺公共服务梯度供应，逐步减少梯度层次和服务差异。落实持居住证参加城乡居民基本医疗保险政策。逐步将未落户常住人口纳入常住地儿童关爱、社会救助等范围。全面深化事业单位改革，优化公共服务领域事业单位结构布局，巩固完善充分考虑常住人口服务对象数量、服务成本等因素的财政转移支付分配机制。</w:t>
      </w:r>
    </w:p>
    <w:p w14:paraId="4C6F56A6">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01" w:name="_Toc30414"/>
      <w:r>
        <w:rPr>
          <w:rFonts w:hint="default" w:ascii="Times New Roman" w:hAnsi="Times New Roman" w:eastAsia="黑体" w:cs="Times New Roman"/>
          <w:color w:val="000000"/>
          <w:sz w:val="32"/>
          <w:lang w:val="en-US" w:eastAsia="zh-CN"/>
        </w:rPr>
        <w:t>第四十六章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保障各类群体发展权益</w:t>
      </w:r>
      <w:bookmarkEnd w:id="201"/>
    </w:p>
    <w:p w14:paraId="74525E2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健全关爱服务体系，营造有效保障妇女、未成年人、青年人、残疾人等发展权益的社会环境，提升退役军人服务保障水平。</w:t>
      </w:r>
    </w:p>
    <w:p w14:paraId="4711403D">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促进男女平等和妇女全面发展</w:t>
      </w:r>
    </w:p>
    <w:p w14:paraId="2DFADED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男女平等基本国策，保障妇女依法平等参与经济社会发展、平等行使民主权利、平等享有改革发展成果。完善妇幼健康服务体系，加强乳腺癌、宫颈癌综合防治，全面实施适龄女童国家免疫规划人乳头瘤病毒（HPV）疫苗免费接种。保障妇女平等受教育权利和就业权益，依法保障农村妇女集体经济组织成员权和土地承包经营权，支持妇女参与基层治理。持续预防和制止家庭暴力，严厉打击侵害妇女权利的违法犯罪行为。</w:t>
      </w:r>
    </w:p>
    <w:p w14:paraId="4101AE97">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强化未成年人关爱保护</w:t>
      </w:r>
    </w:p>
    <w:p w14:paraId="30114F6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儿童优先发展，切实保障儿童生存权、发展权、受保护权和参与权。推进儿童近视、超重肥胖和孤独症等早筛查早干预。提高儿童医疗保健服务水平，丰富儿童用药品种。加强困境儿童关爱服务，推进流动儿童、留守儿童分类帮扶，有效提升福利保障水平。完善儿童早期发展服务。制定实施儿童伤害防控行动计划，强化未成年人违法犯罪预防和治理，有效防治学生欺凌。加强未成年人网络保护，拓展网络育人空间和阵地。推进儿童友好建设，营造关心关爱下一代的社会环境。</w:t>
      </w:r>
    </w:p>
    <w:p w14:paraId="789D3D80">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支持青年发展</w:t>
      </w:r>
    </w:p>
    <w:p w14:paraId="7AAC664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促进青年发展的规划和政策，为青年成长成才、建功立业创造良好条件。加强对广大青年的思想政治引领和价值观塑造，深入开展新时代中国青年科技创新、乡村振兴等领域青春建功行动，支持青年在各领域各方面工作中争当排头兵和主力军。帮助青年解决求学工作、创新创业、婚恋生育、住房保障、社会融入等实际困难。完善青年群体利益表达和诉求响应机制，拓展青年有序参与社会治理渠道。</w:t>
      </w:r>
    </w:p>
    <w:p w14:paraId="4BDA14A6">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第四节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加强退役军人服务保障</w:t>
      </w:r>
    </w:p>
    <w:p w14:paraId="56EA438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退役军人管理保障改革，完善组织管理、工作运行和政策制度体系。健全优抚待遇确定和调整机制，加强优待项目统筹管理，完善退役军人帮扶援助和法律服务体系。深化优抚医院、光荣院管理改革，完善优抚医疗康养体系。推进退役军人高质量安置就业，完善安置办法，强化政策支持和服务指导。健全退役军人荣誉激励和表彰奖励制度。加强和改进双拥模范创建工作。大力弘扬英烈精神。</w:t>
      </w:r>
    </w:p>
    <w:p w14:paraId="480C1923">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第五节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提升残疾人保障和发展能力</w:t>
      </w:r>
    </w:p>
    <w:p w14:paraId="64F0AE7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残疾人社会保障制度和关爱服务体系，促进残疾人事业全面发展。强化对重度残疾、多重残疾、一户多残等群体兜底保障，健全困难残疾人生活补贴、重度残疾人护理补贴制度及补贴标准动态调整机制，加强残疾儿童康复救助，健全残疾人辅助器具适配补贴制度。完善残疾人社区和家庭支持，加强重度残疾人托养照护，发展精神障碍社区康复。强化残疾人就业帮扶，完善按比例就业、集中就业、自主就业促进机制。发展残疾人文化体育。深入推进科技助残，加强公共设施、信息交流、社会服务无障碍环境建设。</w:t>
      </w:r>
    </w:p>
    <w:p w14:paraId="388C1D3D">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202" w:name="_Toc19865"/>
      <w:r>
        <w:rPr>
          <w:rFonts w:hint="default" w:ascii="方正小标宋简体" w:hAnsi="方正小标宋简体" w:eastAsia="方正小标宋简体" w:cs="方正小标宋简体"/>
          <w:sz w:val="40"/>
          <w:szCs w:val="40"/>
          <w:lang w:val="en-US" w:eastAsia="zh-CN"/>
        </w:rPr>
        <w:t>第十三篇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加快经济社会发展全面绿色转型</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建设美丽中国</w:t>
      </w:r>
      <w:bookmarkEnd w:id="202"/>
    </w:p>
    <w:p w14:paraId="05746B9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牢固树立和践行绿水青山就是金山银山的理念，以碳达峰碳中和为牵引，以健全生态文明制度体系为保障，协同推进降碳、减污、扩绿、增长，改善生态环境质量，筑牢生态安全屏障，增强绿色发展动能。</w:t>
      </w:r>
    </w:p>
    <w:p w14:paraId="1F71825C">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03" w:name="_Toc14227"/>
      <w:r>
        <w:rPr>
          <w:rFonts w:hint="default" w:ascii="Times New Roman" w:hAnsi="Times New Roman" w:eastAsia="黑体" w:cs="Times New Roman"/>
          <w:color w:val="000000"/>
          <w:sz w:val="32"/>
          <w:lang w:val="en-US" w:eastAsia="zh-CN"/>
        </w:rPr>
        <w:t>第四十七章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积极稳妥推进和实现碳达峰</w:t>
      </w:r>
      <w:bookmarkEnd w:id="203"/>
    </w:p>
    <w:p w14:paraId="2D47176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统筹发展和减排，扎实开展碳达峰行动，加快产业结构、能源结构、交通运输结构等调整优化，确保如期实现碳达峰目标。</w:t>
      </w:r>
    </w:p>
    <w:p w14:paraId="0933170D">
      <w:pPr>
        <w:ind w:firstLine="640" w:firstLineChars="200"/>
        <w:outlineLvl w:val="0"/>
        <w:rPr>
          <w:rFonts w:hint="default" w:ascii="楷体_GB2312" w:hAnsi="楷体_GB2312" w:eastAsia="楷体_GB2312" w:cs="楷体_GB2312"/>
          <w:lang w:val="en-US" w:eastAsia="zh-CN"/>
        </w:rPr>
      </w:pPr>
      <w:bookmarkStart w:id="204" w:name="_Toc15171"/>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全面实施碳排放总量和强度双控制度</w:t>
      </w:r>
      <w:bookmarkEnd w:id="204"/>
    </w:p>
    <w:p w14:paraId="299DD34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政策引导和市场激励相结合，稳步实施地方碳考核、行业碳管控、企业碳管理、项目碳评价、产品碳足迹等政策制度。建立碳达峰碳中和综合评价考核制度，科学合理分解碳排放双控目标，压实碳排放目标落实责任。建立行业碳排放管控机制，明确重点行业领域碳排放管理要求，协同推进产能治理和碳排放双控。健全重点用能和碳排放单位管理制度。强化固定资产投资项目节能审查和碳排放评价，新建和改扩建高耗能高排放工业项目实施碳排放等量或减量置换。制定产品碳足迹核算规则标准，发布重点产品碳排放限额标准，建立产品碳标识认证制度。完善碳排放统计核算体系和动态监测预警机制，常态化编制国家温室气体清单。扩大全国碳排放权交易市场覆盖范围，加快温室气体自愿减排交易市场建设。</w:t>
      </w:r>
    </w:p>
    <w:p w14:paraId="5127B62C">
      <w:pPr>
        <w:ind w:firstLine="640" w:firstLineChars="200"/>
        <w:outlineLvl w:val="0"/>
        <w:rPr>
          <w:rFonts w:hint="default" w:ascii="楷体_GB2312" w:hAnsi="楷体_GB2312" w:eastAsia="楷体_GB2312" w:cs="楷体_GB2312"/>
          <w:lang w:val="en-US" w:eastAsia="zh-CN"/>
        </w:rPr>
      </w:pPr>
      <w:bookmarkStart w:id="205" w:name="_Toc1354"/>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推动重点领域节能降碳</w:t>
      </w:r>
      <w:bookmarkEnd w:id="205"/>
    </w:p>
    <w:p w14:paraId="680A689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开展节能降碳改造和控煤减煤，加快推进新增用电量由新增清洁能源电量覆盖，推动煤炭和石油消费达峰，单位GDP能耗下降10%左右。有力有效管控高耗能高排放项目，加快绿色低碳技术装备创新应用，有序推动符合要求的高载能产业向可再生能源资源富集区域转移，建设零碳工厂和园区。加强既有建筑和市政设施节能降碳改造，促进超低能耗和装配式建筑规模化发展，实施制冷能效提升和绿色照明行动。加快热力系统绿色低碳转型，因地制宜开展余热资源利用和非化石能源供热，有序推进供热计量改造和按热量收费。推动交通动力低碳替代，加快货运、公共领域电动化和绿色燃料车船应用，提高大宗货物铁路、水路运输比重和新能源汽车运输比重。提升算力设施、5G基站等新兴领域用能效率。健全重点领域能效诊断机制，深入实施能效标识和能效“领跑者”制度。深化绿色低碳高质量发展先行区建设。</w:t>
      </w:r>
    </w:p>
    <w:p w14:paraId="56603E94">
      <w:pPr>
        <w:ind w:firstLine="640" w:firstLineChars="200"/>
        <w:outlineLvl w:val="0"/>
        <w:rPr>
          <w:rFonts w:hint="default" w:ascii="楷体_GB2312" w:hAnsi="楷体_GB2312" w:eastAsia="楷体_GB2312" w:cs="楷体_GB2312"/>
          <w:lang w:val="en-US" w:eastAsia="zh-CN"/>
        </w:rPr>
      </w:pPr>
      <w:bookmarkStart w:id="206" w:name="_Toc6688"/>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提升应对全球气候变化能力</w:t>
      </w:r>
      <w:bookmarkEnd w:id="206"/>
    </w:p>
    <w:p w14:paraId="783405D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减缓与适应并重，全面控制温室气体排放，积极应对气候变化不利影响和风险。加强非二氧化碳温室气体监测管控，提升生态系统碳汇增量，健全碳汇监测核算体系。完善适应气候变化工作体系，强化气候变化对关键脆弱领域区域风险影响评估，提升应对气候变化特别是极端天气能力。积极参与和引领全球气候治理，坚持共同但有区别的责任原则，全面落实联合国气候变化框架公约及其巴黎协定，深化气候变化南南合作。</w:t>
      </w:r>
    </w:p>
    <w:p w14:paraId="3F676077">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07" w:name="_Toc27723"/>
      <w:r>
        <w:rPr>
          <w:rFonts w:hint="default" w:ascii="Times New Roman" w:hAnsi="Times New Roman" w:eastAsia="黑体" w:cs="Times New Roman"/>
          <w:color w:val="000000"/>
          <w:sz w:val="32"/>
          <w:lang w:val="en-US" w:eastAsia="zh-CN"/>
        </w:rPr>
        <w:t>第四十八章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持续改善环境质量</w:t>
      </w:r>
      <w:bookmarkEnd w:id="207"/>
    </w:p>
    <w:p w14:paraId="100FF5F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坚持环保为民，全面落实精准科学依法治污，更加注重源头治理，强化减污降碳协同、多污染物控制协同、区域治理协同，加快推动环境质量改善由量变到质变。</w:t>
      </w:r>
    </w:p>
    <w:p w14:paraId="7B16D64C">
      <w:pPr>
        <w:ind w:firstLine="640" w:firstLineChars="200"/>
        <w:outlineLvl w:val="0"/>
        <w:rPr>
          <w:rFonts w:hint="default" w:ascii="楷体_GB2312" w:hAnsi="楷体_GB2312" w:eastAsia="楷体_GB2312" w:cs="楷体_GB2312"/>
          <w:lang w:val="en-US" w:eastAsia="zh-CN"/>
        </w:rPr>
      </w:pPr>
      <w:bookmarkStart w:id="208" w:name="_Toc18291"/>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深入打好蓝天、碧水、净土保卫战</w:t>
      </w:r>
      <w:bookmarkEnd w:id="208"/>
    </w:p>
    <w:p w14:paraId="278072C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持续深入推进污染防治攻坚，以更高标准改善大气、水、土壤环境质量。以京津冀及周边、长三角、汾渭平原等重点区域为主战场，强化细颗粒物（PM&lt;sub&gt;2.5&lt;/sub&gt;）控制，深入推进重点行业超低排放改造，推动挥发性有机物源头替代和全流程治理，制定下一阶段机动车排放和油品质量标准，深化大气环境绩效分级管理，氮氧化物、挥发性有机物排放量分别下降8%以上，进一步消除重污染天气。加强长江中游、成渝等区域大气污染防治。加强餐饮油烟、恶臭异味和环境噪声污染治理。统筹水资源、水环境、水生态治理，以解决全流域和跨省界突出问题为重点，加强重要江河湖库系统治理和生态保护，基本完成重点流域海域入河入海排污口排查整治，化学需氧量、总磷排放量分别下降6%，巩固城市黑臭水体治理成效、基本消除县乡黑臭水体。加强土壤污染源头防控，推进受污染耕地、建设用地安全利用。</w:t>
      </w:r>
    </w:p>
    <w:p w14:paraId="0039C6B6">
      <w:pPr>
        <w:ind w:firstLine="640" w:firstLineChars="200"/>
        <w:outlineLvl w:val="0"/>
        <w:rPr>
          <w:rFonts w:hint="default" w:ascii="楷体_GB2312" w:hAnsi="楷体_GB2312" w:eastAsia="楷体_GB2312" w:cs="楷体_GB2312"/>
          <w:lang w:val="en-US" w:eastAsia="zh-CN"/>
        </w:rPr>
      </w:pPr>
      <w:bookmarkStart w:id="209" w:name="_Toc30195"/>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加强环境风险防控</w:t>
      </w:r>
      <w:bookmarkEnd w:id="209"/>
    </w:p>
    <w:p w14:paraId="6337222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常态化管控生态环境风险，有效保障公众健康安全。实施固体废物综合治理行动，积极推进源头减量、过程管控、末端利用和全链条无害化管理，提升固体废物处置规范管控水平。强化危险废物全过程监管，重点管控重金属污染风险，开展废渣、矿山、尾矿库等历史遗留隐患排查整治。深入推进新污染物治理，建立持久性有机污染物、内分泌干扰物、抗生素、微塑料等协同治理和风险管控体系。推动核设施高标准设计、高质量建设、高水平运行，深化首堆新堆安全监管，加强老旧设施退役治理和放射性废物处置，提升辐射环境监测能力。完善跨区域、跨部门联动的突发环境事件应急响应体系。开展重点区域生态环境健康风险评估。</w:t>
      </w:r>
    </w:p>
    <w:p w14:paraId="58AC600B">
      <w:pPr>
        <w:ind w:firstLine="640" w:firstLineChars="200"/>
        <w:outlineLvl w:val="0"/>
        <w:rPr>
          <w:rFonts w:hint="default" w:ascii="楷体_GB2312" w:hAnsi="楷体_GB2312" w:eastAsia="楷体_GB2312" w:cs="楷体_GB2312"/>
          <w:lang w:val="en-US" w:eastAsia="zh-CN"/>
        </w:rPr>
      </w:pPr>
      <w:bookmarkStart w:id="210" w:name="_Toc19391"/>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健全现代环境治理体系</w:t>
      </w:r>
      <w:bookmarkEnd w:id="210"/>
    </w:p>
    <w:p w14:paraId="43B4935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实施生态环境法典，健全责任体系、监管体系、法律法规标准体系，提高环境治理效能。落实各级党委政府及领导干部生态环境保护责任，深入推进中央和省级生态环境保护督察，提升督察支撑保障能力和监测监管现代化水平。持续建设国家生态文明试验区。开展美丽中国建设成效考核，建设美丽中国先行区。深入推进生态环境分区管控，加强同国土空间规划衔接，协同优化产业布局。加快落实以排污许可制为核心的固定污染源监管制度。更新污染物排放和环境质量标准，构建环境信用监管体系。</w:t>
      </w:r>
    </w:p>
    <w:p w14:paraId="2D493C22">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11" w:name="_Toc740"/>
      <w:r>
        <w:rPr>
          <w:rFonts w:hint="default" w:ascii="Times New Roman" w:hAnsi="Times New Roman" w:eastAsia="黑体" w:cs="Times New Roman"/>
          <w:color w:val="000000"/>
          <w:sz w:val="32"/>
          <w:lang w:val="en-US" w:eastAsia="zh-CN"/>
        </w:rPr>
        <w:t>第四十九章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提升生态系统多样性稳定性持续性</w:t>
      </w:r>
      <w:bookmarkEnd w:id="211"/>
    </w:p>
    <w:p w14:paraId="751637B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坚持山水林田湖草沙一体化保护和系统治理，统筹自然恢复和人工修复，更加注重提质兴业利民，构建从山顶到海洋的保护治理大格局。</w:t>
      </w:r>
    </w:p>
    <w:p w14:paraId="21F2B0B0">
      <w:pPr>
        <w:ind w:firstLine="640" w:firstLineChars="200"/>
        <w:outlineLvl w:val="0"/>
        <w:rPr>
          <w:rFonts w:hint="default" w:ascii="楷体_GB2312" w:hAnsi="楷体_GB2312" w:eastAsia="楷体_GB2312" w:cs="楷体_GB2312"/>
          <w:lang w:val="en-US" w:eastAsia="zh-CN"/>
        </w:rPr>
      </w:pPr>
      <w:bookmarkStart w:id="212" w:name="_Toc24198"/>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巩固和优化生态安全屏障</w:t>
      </w:r>
      <w:bookmarkEnd w:id="212"/>
    </w:p>
    <w:p w14:paraId="129A8C2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统筹推进重要生态系统保护和修复重大工程，持续巩固以“三区四带”为骨架的国家生态安全屏障体系。打好“三北”工程攻坚战，推动三大标志性战役取得决定性胜利。深入推进青藏高原生态保护，加强重点区域水土流失治理和石漠化治理。科学开展大规模国土绿化行动，推进森林质量精准提升和国家储备林建设，森林蓄积量达到224亿立方米，统筹草原生态修复与合理利用，加强湿地保护修复。推进超引地表水和超采地下水治理，开展历史遗留废弃矿山生态修复。</w:t>
      </w:r>
    </w:p>
    <w:p w14:paraId="22E97452">
      <w:pPr>
        <w:ind w:firstLine="640" w:firstLineChars="200"/>
        <w:outlineLvl w:val="0"/>
        <w:rPr>
          <w:rFonts w:hint="default" w:ascii="楷体_GB2312" w:hAnsi="楷体_GB2312" w:eastAsia="楷体_GB2312" w:cs="楷体_GB2312"/>
          <w:lang w:val="en-US" w:eastAsia="zh-CN"/>
        </w:rPr>
      </w:pPr>
      <w:bookmarkStart w:id="213" w:name="_Toc2144"/>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全面推进自然保护地体系建设</w:t>
      </w:r>
      <w:bookmarkEnd w:id="213"/>
    </w:p>
    <w:p w14:paraId="5FB5079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实施自然保护地整合优化，落实分级管理和分区管控，建立健全以国家公园为主体的自然保护地体系。有序设立新的国家公园，提升自然保护区、自然公园生态服务功能。实施生物多样性保护重大工程，以旗舰物种、关键物种保护为重点，加强重要栖息地、生态廊道和候鸟迁飞通道保护修复，持续加强长江水生生物保护，建设国家植物园体系，强化古树名木保护。加强森林草原防灭火、有害生物防治，强化外来入侵物种监测管控。</w:t>
      </w:r>
    </w:p>
    <w:p w14:paraId="2E8A59FD">
      <w:pPr>
        <w:ind w:firstLine="640" w:firstLineChars="200"/>
        <w:outlineLvl w:val="0"/>
        <w:rPr>
          <w:rFonts w:hint="default" w:ascii="楷体_GB2312" w:hAnsi="楷体_GB2312" w:eastAsia="楷体_GB2312" w:cs="楷体_GB2312"/>
          <w:lang w:val="en-US" w:eastAsia="zh-CN"/>
        </w:rPr>
      </w:pPr>
      <w:bookmarkStart w:id="214" w:name="_Toc21692"/>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健全生态保护机制</w:t>
      </w:r>
      <w:bookmarkEnd w:id="214"/>
    </w:p>
    <w:p w14:paraId="13772B1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严格约束和增强激励并重，激发全社会保护生态内生动力。严格落实生态保护红线管理制度，强化生态破坏问题排查整治，开展生态保护修复成效评估。健全自然资源资产产权和管理制度，全面推进资产调查核算和确权登记。完善多元化生态补偿机制，健全重点生态功能区转移支付和森林、草原等重要生态系统补偿政策，完善补偿标准动态调整机制，以流域为重点深入开展横向补偿，发展市场化生态补偿，探索生态综合补偿。因地制宜拓展生态产品价值实现渠道。完善生态环境损害赔偿制度。深化集体林权制度和国有林区改革，加快建设现代化国有林场。</w:t>
      </w:r>
    </w:p>
    <w:p w14:paraId="4328971A">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15" w:name="_Toc20830"/>
      <w:r>
        <w:rPr>
          <w:rFonts w:hint="default" w:ascii="Times New Roman" w:hAnsi="Times New Roman" w:eastAsia="黑体" w:cs="Times New Roman"/>
          <w:color w:val="000000"/>
          <w:sz w:val="32"/>
          <w:lang w:val="en-US" w:eastAsia="zh-CN"/>
        </w:rPr>
        <w:t>第五十章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加快形成绿色生产生活方式</w:t>
      </w:r>
      <w:bookmarkEnd w:id="215"/>
    </w:p>
    <w:p w14:paraId="3A9636B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突出节约优先、强化政策激励、引导全社会参与，加快发展方式绿色低碳转型，形成绿色生产新方式和生活新风尚。</w:t>
      </w:r>
    </w:p>
    <w:p w14:paraId="7FB95E7C">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加强资源节约集约利用</w:t>
      </w:r>
    </w:p>
    <w:p w14:paraId="04B98D9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资源总量管理和全面节约制度，加强水、土地、矿产等资源全过程管理和全链条节约。提高水资源集约安全利用水平，全面落实水资源刚性约束制度，强化农业节水增效、工业节水减排、城镇节水降损，单位GDP用水量下降10%，农田灌溉水有效利用系数提高到0.6。提升建设用地利用效率，推广应用节地技术和节地模式，新增建设用地规模控制在2600万亩以内。提升矿产资源综合利用水平，全面推进绿色勘查和绿色矿山建设。促进循环经济发展，健全废弃物循环利用体系，在确保固体废物零进口前提下有序推进海外优质再生原料进口利用，发展壮大再制造产业，大宗固体废弃物年利用量达到45亿吨左右。</w:t>
      </w:r>
    </w:p>
    <w:p w14:paraId="7CFCEAAE">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健全绿色发展政策体系</w:t>
      </w:r>
    </w:p>
    <w:p w14:paraId="7505EDB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创新保护和投入激励机制，实施促进绿色低碳发展的财税、金融、投资、价格、科技、环保等政策。优化绿色税收制度，开展挥发性有机物环境保护税征收试点，落实支持资源节约和绿色产品使用的税收优惠。丰富绿色金融产品和服务，有序推进碳金融产品和衍生工具创新，健全金融机构绿色金融考核评价体系，鼓励提升绿色低碳领域投资比例。健全绿证交易机制，完善鼓励灵活性电源参与系统调节的价格政策。建立健全绿色低碳标准体系，推动引领国际规则标准完善和衔接互认。</w:t>
      </w:r>
    </w:p>
    <w:p w14:paraId="45839755">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开展绿色低碳全民行动</w:t>
      </w:r>
    </w:p>
    <w:p w14:paraId="0434D90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大力倡导简约适度、绿色低碳、文明健康的生活理念和消费方式。引导公众节约用水用电、反对铺张浪费、推广“光盘行动”、抵制过度包装、减少一次性用品使用，加快“以竹代塑”发展，优先选择绿色出行方式。鼓励企业提高绿色设计和制造水平，降低产品全生命周期能源资源消耗和生态环境影响。提高垃圾分类和资源化利用水平。健全绿色消费激励机制，拓展政府采购绿色产品范围和规模。</w:t>
      </w:r>
    </w:p>
    <w:p w14:paraId="5E381F35">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216" w:name="_Toc14347"/>
      <w:r>
        <w:rPr>
          <w:rFonts w:hint="default" w:ascii="方正小标宋简体" w:hAnsi="方正小标宋简体" w:eastAsia="方正小标宋简体" w:cs="方正小标宋简体"/>
          <w:sz w:val="40"/>
          <w:szCs w:val="40"/>
          <w:lang w:val="en-US" w:eastAsia="zh-CN"/>
        </w:rPr>
        <w:t>第十四篇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推进国家安全体系和能力现代化</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建设更高水平平安中国</w:t>
      </w:r>
      <w:bookmarkEnd w:id="216"/>
    </w:p>
    <w:p w14:paraId="72BEA3A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坚定不移贯彻总体国家安全观，加快构建新安全格局，增强维护和塑造国家安全战略主动，走中国特色社会主义社会治理之路，确保社会生机勃勃又井然有序。</w:t>
      </w:r>
    </w:p>
    <w:p w14:paraId="2C94B20C">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17" w:name="_Toc10557"/>
      <w:r>
        <w:rPr>
          <w:rFonts w:hint="default" w:ascii="Times New Roman" w:hAnsi="Times New Roman" w:eastAsia="黑体" w:cs="Times New Roman"/>
          <w:color w:val="000000"/>
          <w:sz w:val="32"/>
          <w:lang w:val="en-US" w:eastAsia="zh-CN"/>
        </w:rPr>
        <w:t>第五十一章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加强国家安全体系和能力建设</w:t>
      </w:r>
      <w:bookmarkEnd w:id="217"/>
    </w:p>
    <w:p w14:paraId="20101A8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以战略为先导、政策为抓手、法治为保障、风险防控为落脚点，巩固集中统一、高效权威的国家安全领导体制，制定实施国家安全战略，完善国家安全法治体系、战略体系、政策体系、风险防控体系。强化国家安全重点领域和重要专项协调机制，提高应急应变效能。落实国家安全责任制，促进全链条全要素协同联动，形成体系合力。加强重点领域国家安全能力建设，锻造实战实用的国家安全能力，突出保障事关国家长治久安、经济健康稳定、人民安居乐业的重大安全，把捍卫政治安全摆在首位，坚定维护政权安全、制度安全、意识形态安全，严厉打击敌对势力渗透、破坏、颠覆、分裂活动。夯实国家安全基础保障，强化科技赋能，加强新兴领域国家安全能力建设。维护重点领域国家秘密安全。完善涉外国家安全机制，构建海外安全保障体系，加强反制裁、反干预、反“长臂管辖”斗争，深化国际执法安全合作。强化国家安全教育，筑牢人民防线。</w:t>
      </w:r>
    </w:p>
    <w:p w14:paraId="60780E31">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18" w:name="_Toc29991"/>
      <w:r>
        <w:rPr>
          <w:rFonts w:hint="default" w:ascii="Times New Roman" w:hAnsi="Times New Roman" w:eastAsia="黑体" w:cs="Times New Roman"/>
          <w:color w:val="000000"/>
          <w:sz w:val="32"/>
          <w:lang w:val="en-US" w:eastAsia="zh-CN"/>
        </w:rPr>
        <w:t>第五十二章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保障国家经济安全</w:t>
      </w:r>
      <w:bookmarkEnd w:id="218"/>
    </w:p>
    <w:p w14:paraId="38E3DF2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聚焦重点品种加强战略物资保障，聚焦系统重要性领域防范化解重大风险，聚焦新产业新业态新应用场景提升薄弱环节风险防控能力，以精准补齐短板带动安全保障能力全面提升。</w:t>
      </w:r>
    </w:p>
    <w:p w14:paraId="57510096">
      <w:pPr>
        <w:ind w:firstLine="640" w:firstLineChars="200"/>
        <w:outlineLvl w:val="0"/>
        <w:rPr>
          <w:rFonts w:hint="default" w:ascii="楷体_GB2312" w:hAnsi="楷体_GB2312" w:eastAsia="楷体_GB2312" w:cs="楷体_GB2312"/>
          <w:lang w:val="en-US" w:eastAsia="zh-CN"/>
        </w:rPr>
      </w:pPr>
      <w:bookmarkStart w:id="219" w:name="_Toc17749"/>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增强粮食安全保障能力</w:t>
      </w:r>
      <w:bookmarkEnd w:id="219"/>
    </w:p>
    <w:p w14:paraId="7EC2F39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以我为主、立足国内、确保产能、适度进口、科技支撑，提升粮食产购储加销协同保障能力，确保谷物基本自给、口粮绝对安全。严格落实耕地保护和粮食安全党政同责要求，严守耕地红线。加强粮食购销和储备管理，保持政府储备粮规模相对稳定，强化储备调节功能，健全粮食监管新模式。深入实施优质粮食工程，推进粮食流通提质增效。推进粮食产后全链条节约减损，实施全谷物行动计划。完善化肥储备制度，加强钾肥、磷肥等保供稳价。建立稳定可控的海外供应渠道，推进农产品进口多元化，适度进口紧缺优质品种，促进贸易和生产相协调。</w:t>
      </w:r>
    </w:p>
    <w:p w14:paraId="78CD2005">
      <w:pPr>
        <w:ind w:firstLine="640" w:firstLineChars="200"/>
        <w:outlineLvl w:val="0"/>
        <w:rPr>
          <w:rFonts w:hint="default" w:ascii="楷体_GB2312" w:hAnsi="楷体_GB2312" w:eastAsia="楷体_GB2312" w:cs="楷体_GB2312"/>
          <w:lang w:val="en-US" w:eastAsia="zh-CN"/>
        </w:rPr>
      </w:pPr>
      <w:bookmarkStart w:id="220" w:name="_Toc16826"/>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强化能源资源供应保障</w:t>
      </w:r>
      <w:bookmarkEnd w:id="220"/>
    </w:p>
    <w:p w14:paraId="63EC0BE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立足国内、补齐短板、多元保障、强化储备，加强能源产供储销体系建设。坚持油气核心需求自主保障，实施中长期油气增储上产战略行动，确保原油年产量稳定在2亿吨左右、天然气产量稳步增长，加强煤制油气产能和技术储备。强化政府储备和企业储备协同，提升国家石油储备规模，建立更加灵活的轮换动用机制，增强天然气储备调节保障能力，完善煤炭储备体系。健全能源保供中长期合同制度，完善电力应急调度机制和备用电源配置，强化能源需求侧管理。加强战略性矿产资源勘探开发和储备，深入实施新一轮找矿突破战略行动，统筹加强产品、产能和产地储备，推动大宗商品储运基地建设，提升战略性矿产资源安全风险监测预警和应急保供水平。加强能源资源开发国际合作，维护战略通道安全。</w:t>
      </w:r>
    </w:p>
    <w:p w14:paraId="75D944E8">
      <w:pPr>
        <w:ind w:firstLine="640" w:firstLineChars="200"/>
        <w:outlineLvl w:val="0"/>
        <w:rPr>
          <w:rFonts w:hint="default" w:ascii="楷体_GB2312" w:hAnsi="楷体_GB2312" w:eastAsia="楷体_GB2312" w:cs="楷体_GB2312"/>
          <w:lang w:val="en-US" w:eastAsia="zh-CN"/>
        </w:rPr>
      </w:pPr>
      <w:bookmarkStart w:id="221" w:name="_Toc11178"/>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健全防范化解重点领域风险长效机制</w:t>
      </w:r>
      <w:bookmarkEnd w:id="221"/>
    </w:p>
    <w:p w14:paraId="400C2D1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强化源头防控、预判预警、早期纠正，统筹推进房地产、地方政府债务、中小金融机构等风险有序化解，严防系统性风险。完善系统重要性金融机构监管，加强金融市场、跨境资本流动等重点领域宏观审慎管理。建立健全全口径地方债务监测监管体系和防范化解隐性债务风险长效机制，严肃财经纪律，坚决遏制新增地方政府隐性债务，优化中央和地方政府债务结构，加快推动地方政府融资平台改革转型。支持金融机构稳妥有序开展资本补充，完善中小金融机构风险处置机制，丰富风险处置资源和手段，充实金融稳定保障基金、存款保险基金和其他行业保障基金。强化央地金融监管协同，健全金融消费者权益保护机制，严厉打击非法金融活动。强化开放条件下金融安全保障，完善跨境资金流动监测预警响应机制。</w:t>
      </w:r>
    </w:p>
    <w:p w14:paraId="4FF9D89A">
      <w:pPr>
        <w:ind w:firstLine="640" w:firstLineChars="200"/>
        <w:outlineLvl w:val="0"/>
        <w:rPr>
          <w:rFonts w:hint="default" w:ascii="楷体_GB2312" w:hAnsi="楷体_GB2312" w:eastAsia="楷体_GB2312" w:cs="楷体_GB2312"/>
          <w:lang w:val="en-US" w:eastAsia="zh-CN"/>
        </w:rPr>
      </w:pPr>
      <w:bookmarkStart w:id="222" w:name="_Toc7857"/>
      <w:r>
        <w:rPr>
          <w:rFonts w:hint="default" w:ascii="楷体_GB2312" w:hAnsi="楷体_GB2312" w:eastAsia="楷体_GB2312" w:cs="楷体_GB2312"/>
          <w:lang w:val="en-US" w:eastAsia="zh-CN"/>
        </w:rPr>
        <w:t>第四节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提升网络安全保障能力</w:t>
      </w:r>
      <w:bookmarkEnd w:id="222"/>
    </w:p>
    <w:p w14:paraId="5535A7E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化网络空间安全综合治理，加快国家网络安全防御体系建设。健全关键信息基础设施安全防护、网络安全审查、云计算服务安全评估等基础制度，完善互联网内容管理、网络平台治理等法规。严厉打击网络违法犯罪行为，加强个人信息保护。持续开展“清朗”系列专项行动，治理网络谣言、网络暴力等乱象，营造风清气正的网络环境。支持网络安全技术创新和产业发展，鼓励发展安全可靠的信息产品和服务。推进容灾备份体系建设，加强工业控制系统和新技术新应用的网络安全防护。深度参与网络空间全球治理和国际规则制定，积极拓展国际网络安全合作。</w:t>
      </w:r>
    </w:p>
    <w:p w14:paraId="5D9B4924">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23" w:name="_Toc2183"/>
      <w:r>
        <w:rPr>
          <w:rFonts w:hint="default" w:ascii="Times New Roman" w:hAnsi="Times New Roman" w:eastAsia="黑体" w:cs="Times New Roman"/>
          <w:color w:val="000000"/>
          <w:sz w:val="32"/>
          <w:lang w:val="en-US" w:eastAsia="zh-CN"/>
        </w:rPr>
        <w:t>第五十三章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提高公共安全治理水平</w:t>
      </w:r>
      <w:bookmarkEnd w:id="223"/>
    </w:p>
    <w:p w14:paraId="77617BF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完善公共安全体系，推动公共安全治理模式向事前预防转型，切实维护人民群众生命财产安全。</w:t>
      </w:r>
    </w:p>
    <w:p w14:paraId="056929AA">
      <w:pPr>
        <w:ind w:firstLine="640" w:firstLineChars="200"/>
        <w:outlineLvl w:val="0"/>
        <w:rPr>
          <w:rFonts w:hint="default" w:ascii="楷体_GB2312" w:hAnsi="楷体_GB2312" w:eastAsia="楷体_GB2312" w:cs="楷体_GB2312"/>
          <w:lang w:val="en-US" w:eastAsia="zh-CN"/>
        </w:rPr>
      </w:pPr>
      <w:bookmarkStart w:id="224" w:name="_Toc16882"/>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强化食品药品安全监管</w:t>
      </w:r>
      <w:bookmarkEnd w:id="224"/>
    </w:p>
    <w:p w14:paraId="2BB115F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健全食品药品全链条全过程监管机制，完善食品药品安全责任体系。加强从农田到餐桌的食品安全监管，强化风险源头管控，提高协同监管和智慧监管水平，深化重点问题农产品药残治理。完善严格高效的药品监管，深入实施药品标准提高行动计划，强化高风险产品抽检抽查。提高仿制药质量和疗效一致性评价质效，加强上市后临床使用数据监测。落实行业监管、属地管理、企业主体的食品药品安全责任，加大违法犯罪行为惩治力度。严格生物技术研发应用监管，提升生物数据资源存储和安全管理能力。</w:t>
      </w:r>
    </w:p>
    <w:p w14:paraId="4EA440FD">
      <w:pPr>
        <w:ind w:firstLine="640" w:firstLineChars="200"/>
        <w:outlineLvl w:val="0"/>
        <w:rPr>
          <w:rFonts w:hint="default" w:ascii="楷体_GB2312" w:hAnsi="楷体_GB2312" w:eastAsia="楷体_GB2312" w:cs="楷体_GB2312"/>
          <w:lang w:val="en-US" w:eastAsia="zh-CN"/>
        </w:rPr>
      </w:pPr>
      <w:bookmarkStart w:id="225" w:name="_Toc12766"/>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提高安全生产水平</w:t>
      </w:r>
      <w:bookmarkEnd w:id="225"/>
    </w:p>
    <w:p w14:paraId="3F9B749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严格落实安全生产党政同责、“三管三必须”要求，有效防范遏制重特大事故。提升重要基础设施本质安全水平，加快矿山、危险化学品、特种设备等领域高风险工艺和装备淘汰更新，加强生产经营单位主要负责人和特殊工种安全培训。完善安全生产风险排查整治和责任倒查机制，督促企业完善安全生产管理体系，提高安全生产风险防范和事故灾害应急处置水平。提升安全生产执法质效，建立各行业执法检查重点事项清单，扎实开展中央安全生产考核巡查。</w:t>
      </w:r>
    </w:p>
    <w:p w14:paraId="24581909">
      <w:pPr>
        <w:ind w:firstLine="640" w:firstLineChars="200"/>
        <w:outlineLvl w:val="0"/>
        <w:rPr>
          <w:rFonts w:hint="default" w:ascii="楷体_GB2312" w:hAnsi="楷体_GB2312" w:eastAsia="楷体_GB2312" w:cs="楷体_GB2312"/>
          <w:lang w:val="en-US" w:eastAsia="zh-CN"/>
        </w:rPr>
      </w:pPr>
      <w:bookmarkStart w:id="226" w:name="_Toc19138"/>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完善应急管理体系</w:t>
      </w:r>
      <w:bookmarkEnd w:id="226"/>
    </w:p>
    <w:p w14:paraId="689ADBE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人民至上、生命至上，一体提升减灾预防、抗灾设防、救灾保障能力，有效降低各类灾害事故损失。加强灾害监测预报预警，提升全天候实时监测预警能力。合理提高重要城市和灾害多发地区关键基础设施设防标准，推进城市平急两用公共基础设施建设。深化应急管理改革，完善大安全大应急框架下应急指挥机制。提高防灾减灾救灾和重大突发公共事件处置保障能力，建强国家综合性消防救援队伍，优化专业救援队伍结构布局，提高极端条件下救援能力。实施基层应急能力提升行动，提高基层应消一体综合救援和全社会防灾避险能力。加强应急预案体系建设和管理，完善多元化应急物资储备和快速调拨投送机制。健全巨灾风险保障体系和风险分担机制。</w:t>
      </w:r>
    </w:p>
    <w:p w14:paraId="0E54260E">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27" w:name="_Toc20113"/>
      <w:r>
        <w:rPr>
          <w:rFonts w:hint="default" w:ascii="Times New Roman" w:hAnsi="Times New Roman" w:eastAsia="黑体" w:cs="Times New Roman"/>
          <w:color w:val="000000"/>
          <w:sz w:val="32"/>
          <w:lang w:val="en-US" w:eastAsia="zh-CN"/>
        </w:rPr>
        <w:t>第五十四章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完善社会治理体系</w:t>
      </w:r>
      <w:bookmarkEnd w:id="227"/>
    </w:p>
    <w:p w14:paraId="1481FD6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坚持系统治理、依法治理、综合治理、源头治理，完善共建共治共享的社会治理制度，健全社会工作体制机制和社会治理政策法律法规体系，推进社会治理现代化。</w:t>
      </w:r>
    </w:p>
    <w:p w14:paraId="6F96A3D1">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夯实基层社会治理根基</w:t>
      </w:r>
    </w:p>
    <w:p w14:paraId="1CF14BE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和发展新时代“枫桥经验”，健全党组织领导的自治、法治、德治相结合的城乡基层治理体系。加强党建引领基层治理和基层政权建设，全面实施乡镇（街道）履行职责事项清单，健全村（社区）工作事项准入制度，落实“四下基层”，完善“街乡吹哨、部门报到”等做法。推动社会治理和服务重心向基层下移，加强基层服务管理力量配置，完善服务设施和经费保障机制，健全城乡社区治理体系，完善网格化管理、精细化服务、信息化支撑的基层治理平台。健全凝聚服务群众工作机制，夯实社会治理群众基础。发挥人民群众主体作用，引导各方有序参与社会治理。加强社会工作者队伍建设，提高专业化服务水平。推进网上网下协同治理。强化市民热线等公共服务平台功能，推动“民有所呼、我有所应”。</w:t>
      </w:r>
    </w:p>
    <w:p w14:paraId="729F9F93">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提升新兴领域治理效能</w:t>
      </w:r>
    </w:p>
    <w:p w14:paraId="45F775B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强新经济组织、新社会组织、新就业群体党的建设，进一步扩大党的组织覆盖和工作覆盖，加强和改进对各类社会群体的政治引领和服务管理。提升非公有制企业党建工作质量，加强对混合所有制企业党建工作的分类指导，突出抓好商圈楼宇和园区党建工作。加强社会组织培育管理，推动行业协会商会改革发展。加强志愿服务组织管理，完善激励褒奖机制，发展志愿服务。加强新就业群体服务管理和关心关爱。</w:t>
      </w:r>
    </w:p>
    <w:p w14:paraId="47EBFEB5">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有效维护社会安全稳定</w:t>
      </w:r>
    </w:p>
    <w:p w14:paraId="4182D24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正确处理新形势下人民内部矛盾机制，畅通和规范群众诉求表达、利益协调、权益保障通道，深入推动矛盾纠纷源头化解、多元化解、有序化解。推进信访工作法治化，持续开展领导干部接访下访，深化信访突出矛盾化解。健全社会心理服务体系和危机干预机制。深化社会治安整体防控体系和能力建设，落实维护社会稳定责任，发展壮大群防群治力量，健全扫黑除恶常态化机制，加大预防和打击电信网络诈骗、毒品犯罪等力度。推进综治中心规范化建设。全面准确贯彻宽严相济刑事政策，依法惩处违法犯罪，提升刑罚执行质效。推进政法工作数字化平台建设。</w:t>
      </w:r>
    </w:p>
    <w:p w14:paraId="592ABF47">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228" w:name="_Toc32358"/>
      <w:r>
        <w:rPr>
          <w:rFonts w:hint="default" w:ascii="方正小标宋简体" w:hAnsi="方正小标宋简体" w:eastAsia="方正小标宋简体" w:cs="方正小标宋简体"/>
          <w:sz w:val="40"/>
          <w:szCs w:val="40"/>
          <w:lang w:val="en-US" w:eastAsia="zh-CN"/>
        </w:rPr>
        <w:t>第十五篇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如期实现建军一百年奋斗目标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高质量推进国防和军队现代化</w:t>
      </w:r>
      <w:bookmarkEnd w:id="228"/>
    </w:p>
    <w:p w14:paraId="2ED1E35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4B0F8D8D">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29" w:name="_Toc2320"/>
      <w:r>
        <w:rPr>
          <w:rFonts w:hint="default" w:ascii="Times New Roman" w:hAnsi="Times New Roman" w:eastAsia="黑体" w:cs="Times New Roman"/>
          <w:color w:val="000000"/>
          <w:sz w:val="32"/>
          <w:lang w:val="en-US" w:eastAsia="zh-CN"/>
        </w:rPr>
        <w:t>第五十五章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着力提高国防和军队现代化质量效益</w:t>
      </w:r>
      <w:bookmarkEnd w:id="229"/>
    </w:p>
    <w:p w14:paraId="42586A0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加快军事理论、军队组织形态、军事人员、武器装备和军事治理现代化，提高人民军队打赢能力，有效履行新时代人民军队使命任务。</w:t>
      </w:r>
    </w:p>
    <w:p w14:paraId="0A68AA6C">
      <w:pPr>
        <w:ind w:firstLine="640" w:firstLineChars="200"/>
        <w:outlineLvl w:val="0"/>
        <w:rPr>
          <w:rFonts w:hint="default" w:ascii="楷体_GB2312" w:hAnsi="楷体_GB2312" w:eastAsia="楷体_GB2312" w:cs="楷体_GB2312"/>
          <w:lang w:val="en-US" w:eastAsia="zh-CN"/>
        </w:rPr>
      </w:pPr>
      <w:bookmarkStart w:id="230" w:name="_Toc30405"/>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加快先进战斗力建设</w:t>
      </w:r>
      <w:bookmarkEnd w:id="230"/>
    </w:p>
    <w:p w14:paraId="166A5DF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0ED2190A">
      <w:pPr>
        <w:ind w:firstLine="640" w:firstLineChars="200"/>
        <w:outlineLvl w:val="0"/>
        <w:rPr>
          <w:rFonts w:hint="default" w:ascii="楷体_GB2312" w:hAnsi="楷体_GB2312" w:eastAsia="楷体_GB2312" w:cs="楷体_GB2312"/>
          <w:lang w:val="en-US" w:eastAsia="zh-CN"/>
        </w:rPr>
      </w:pPr>
      <w:bookmarkStart w:id="231" w:name="_Toc12281"/>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推进军事治理现代化</w:t>
      </w:r>
      <w:bookmarkEnd w:id="231"/>
    </w:p>
    <w:p w14:paraId="0986543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658873E9">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32" w:name="_Toc15123"/>
      <w:r>
        <w:rPr>
          <w:rFonts w:hint="default" w:ascii="Times New Roman" w:hAnsi="Times New Roman" w:eastAsia="黑体" w:cs="Times New Roman"/>
          <w:color w:val="000000"/>
          <w:sz w:val="32"/>
          <w:lang w:val="en-US" w:eastAsia="zh-CN"/>
        </w:rPr>
        <w:t>第五十六章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巩固提高一体化国家战略体系和能力</w:t>
      </w:r>
      <w:bookmarkEnd w:id="232"/>
    </w:p>
    <w:p w14:paraId="1D63BF8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强军地战略规划统筹、政策制度衔接、资源要素共享，促进国防实力和经济实力同步提升。深化跨军地改革，构建各司其职、紧密协作、规范有序的跨军地工作格局。加快新兴领域战略能力建设，健全前沿科技成果“民参军”绿色通道，推动新质生产力同新质战斗力高效融合、双向拉动。建设先进国防科技工业体系，优化国防科技工业布局，完善装备采购管理体系，推进军民标准通用化。加强国防建设军事需求提报和军地对接，推动重大基础设施全面贯彻国防要求，加强国防战略预制，提高重要目标防护能力。坚持军民一体、平战一体，加快国防动员能力建设，加强后备力量建设，统筹国防动员和应急管理体系，深化力量队伍、重要设施和通用装备共建共享。加强现代边海空防建设，推进党政军警民合力强边固防。加强军人军属荣誉激励和权益保障。深化全民国防教育，巩固军政军民团结。</w:t>
      </w:r>
    </w:p>
    <w:p w14:paraId="3144B896">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233" w:name="_Toc31895"/>
      <w:r>
        <w:rPr>
          <w:rFonts w:hint="default" w:ascii="方正小标宋简体" w:hAnsi="方正小标宋简体" w:eastAsia="方正小标宋简体" w:cs="方正小标宋简体"/>
          <w:sz w:val="40"/>
          <w:szCs w:val="40"/>
          <w:lang w:val="en-US" w:eastAsia="zh-CN"/>
        </w:rPr>
        <w:t>第十六篇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发展全过程人民民主</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完善中国特色社会主义法治体系</w:t>
      </w:r>
      <w:bookmarkEnd w:id="233"/>
    </w:p>
    <w:p w14:paraId="1885C83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坚定不移走中国特色社会主义政治发展道路，坚持党的领导、人民当家作主、依法治国有机统一，巩固和发展生动活泼、安定团结的政治局面。</w:t>
      </w:r>
    </w:p>
    <w:p w14:paraId="35F30863">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34" w:name="_Toc15047"/>
      <w:r>
        <w:rPr>
          <w:rFonts w:hint="default" w:ascii="Times New Roman" w:hAnsi="Times New Roman" w:eastAsia="黑体" w:cs="Times New Roman"/>
          <w:color w:val="000000"/>
          <w:sz w:val="32"/>
          <w:lang w:val="en-US" w:eastAsia="zh-CN"/>
        </w:rPr>
        <w:t>第五十七章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发展社会主义民主</w:t>
      </w:r>
      <w:bookmarkEnd w:id="234"/>
    </w:p>
    <w:p w14:paraId="43CC4C0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扩大人民有序政治参与，丰富各层级民主形式，发展更加广泛、更加充分、更加健全的全过程人民民主，保证人民依法实行民主选举、民主协商、民主决策、民主管理、民主监督。坚持好、完善好、运行好人民代表大会制度，健全人大对行政机关、监察机关、审判机关、检察机关监督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以职工代表大会为基本形式的企事业单位民主管理制度。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发挥宗亲乡亲、祖地文化等纽带作用。</w:t>
      </w:r>
    </w:p>
    <w:p w14:paraId="2FFC08C9">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35" w:name="_Toc13937"/>
      <w:r>
        <w:rPr>
          <w:rFonts w:hint="default" w:ascii="Times New Roman" w:hAnsi="Times New Roman" w:eastAsia="黑体" w:cs="Times New Roman"/>
          <w:color w:val="000000"/>
          <w:sz w:val="32"/>
          <w:lang w:val="en-US" w:eastAsia="zh-CN"/>
        </w:rPr>
        <w:t>第五十八章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推进全面依法治国</w:t>
      </w:r>
      <w:bookmarkEnd w:id="235"/>
    </w:p>
    <w:p w14:paraId="520BAA8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全面依法治国，协同推进科学立法、严格执法、公正司法、全民守法，更好发挥法治固根本、稳预期、利长远的保障作用，建设更高水平的社会主义法治国家。加强宪法法律实施和监督，完善维护国家法治统一制度机制。加强立法规划和立法审查，拓宽社会公众参与立法的渠道方式，提高立法质量，加快金融、招标投标等领域法律法规制修订。强化法治政府建设，全面落实行政规范性文件备案审查，完善实质性化解行政争议机制。加大关系群众切身利益的重点领域执法力度，强化跨部门执法司法协同和监督。规范司法权力运行，完善司法公正实现和评价机制，提高司法裁判公正性、稳定性、权威性。依法保障人身权、财产权、人格权。强化检察监督，加强公益诉讼。健全国家执行体制，有效解决“执行难”问题。加快涉外法治体系和能力建设，健全国际商事调解、仲裁、诉讼等机制，支持国际调解院更好发挥作用。加强领导干部依法办事监督检查，完善综合性法治评价工作机制。深入推进法治社会建设，加快发展律师等法律服务队伍，完善普惠性公共法律服务，加强法治宣传教育，营造全社会崇尚法治、恪守规则、尊重契约、维护公正的良好环境。</w:t>
      </w:r>
    </w:p>
    <w:p w14:paraId="470830A5">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236" w:name="_Toc9589"/>
      <w:r>
        <w:rPr>
          <w:rFonts w:hint="default" w:ascii="方正小标宋简体" w:hAnsi="方正小标宋简体" w:eastAsia="方正小标宋简体" w:cs="方正小标宋简体"/>
          <w:sz w:val="40"/>
          <w:szCs w:val="40"/>
          <w:lang w:val="en-US" w:eastAsia="zh-CN"/>
        </w:rPr>
        <w:t>第十七篇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坚持和完善“一国两制”</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推进祖国统一</w:t>
      </w:r>
      <w:bookmarkEnd w:id="236"/>
    </w:p>
    <w:p w14:paraId="0C60541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坚定不移维护和促进香港、澳门长期繁荣稳定，坚定不移推进祖国统一大业，携手共创民族复兴伟业。</w:t>
      </w:r>
    </w:p>
    <w:p w14:paraId="2D8463E6">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37" w:name="_Toc25680"/>
      <w:r>
        <w:rPr>
          <w:rFonts w:hint="default" w:ascii="Times New Roman" w:hAnsi="Times New Roman" w:eastAsia="黑体" w:cs="Times New Roman"/>
          <w:color w:val="000000"/>
          <w:sz w:val="32"/>
          <w:lang w:val="en-US" w:eastAsia="zh-CN"/>
        </w:rPr>
        <w:t>第五十九章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促进香港、澳门长期繁荣稳定</w:t>
      </w:r>
      <w:bookmarkEnd w:id="237"/>
    </w:p>
    <w:p w14:paraId="694FE1F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定不移贯彻“一国两制”、“港人治港”、“澳人治澳”、高度自治方针，落实“爱国者治港”、“爱国者治澳”原则，提升港澳依法治理效能，促进港澳经济社会发展，发挥港澳背靠祖国、联通世界独特优势和重要作用。</w:t>
      </w:r>
    </w:p>
    <w:p w14:paraId="2FBF9811">
      <w:pPr>
        <w:ind w:firstLine="640" w:firstLineChars="200"/>
        <w:outlineLvl w:val="0"/>
        <w:rPr>
          <w:rFonts w:hint="default" w:ascii="楷体_GB2312" w:hAnsi="楷体_GB2312" w:eastAsia="楷体_GB2312" w:cs="楷体_GB2312"/>
          <w:lang w:val="en-US" w:eastAsia="zh-CN"/>
        </w:rPr>
      </w:pPr>
      <w:bookmarkStart w:id="238" w:name="_Toc11840"/>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支持港澳巩固提升竞争优势</w:t>
      </w:r>
      <w:bookmarkEnd w:id="238"/>
    </w:p>
    <w:p w14:paraId="425EDF6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支持香港巩固提升国际金融、航运、贸易中心和国际航空枢纽地位，强化全球离岸人民币业务枢纽、国际资产及财富管理中心、国际风险管理中心功能，构建大宗商品交易生态圈和高增值供应链服务中心。支持香港建设国际创新科技中心，深化国际法律及解决争议服务中心、区域知识产权贸易中心、中外文化艺术交流中心建设，加快北部都会区建设。支持澳门经济适度多元发展，深化世界旅游休闲中心、中国与葡语国家商贸合作服务平台和以中华文化为主流、多元文化共存的交流合作基地建设，提升中医药大健康、特色金融、高新技术、会展商贸等产业竞争力。支持港澳打造国际高端人才集聚高地。</w:t>
      </w:r>
    </w:p>
    <w:p w14:paraId="030922A8">
      <w:pPr>
        <w:ind w:firstLine="640" w:firstLineChars="200"/>
        <w:outlineLvl w:val="0"/>
        <w:rPr>
          <w:rFonts w:hint="default" w:ascii="楷体_GB2312" w:hAnsi="楷体_GB2312" w:eastAsia="楷体_GB2312" w:cs="楷体_GB2312"/>
          <w:lang w:val="en-US" w:eastAsia="zh-CN"/>
        </w:rPr>
      </w:pPr>
      <w:bookmarkStart w:id="239" w:name="_Toc32346"/>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支持港澳更好融入和服务国家发展大局</w:t>
      </w:r>
      <w:bookmarkEnd w:id="239"/>
    </w:p>
    <w:p w14:paraId="6E47818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加强港澳与内地经贸、科技、人文等合作，完善便利港澳居民在内地发展和生活政策措施。有序推进与内地金融市场互联互通，深化与内地产学研创新协同。深化粤港澳合作，持续推动重点领域合作实现突破，促进港口、机场和轨道交通协同发展，建设广州至珠海（澳门）高铁，推进港深西部铁路前期工作。深化琴澳一体化发展，高质量建设前海、南沙、河套等重大合作平台。建设澳门国际机场横琴前置货站，推进澳琴国际教育（大学）城建设，支持澳门高校在横琴延伸办学。健全香港、澳门在国家对外开放中更好发挥作用机制，支持港澳深度参与高质量共建“一带一路”，发挥专业服务优势协助企业“走出去”。发挥港澳在中西文明交流互鉴中的重要窗口作用。</w:t>
      </w:r>
    </w:p>
    <w:p w14:paraId="439C1E34">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40" w:name="_Toc32762"/>
      <w:r>
        <w:rPr>
          <w:rFonts w:hint="default" w:ascii="Times New Roman" w:hAnsi="Times New Roman" w:eastAsia="黑体" w:cs="Times New Roman"/>
          <w:color w:val="000000"/>
          <w:sz w:val="32"/>
          <w:lang w:val="en-US" w:eastAsia="zh-CN"/>
        </w:rPr>
        <w:t>第六十章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推动两岸关系和平发展、推进祖国统一大业</w:t>
      </w:r>
      <w:bookmarkEnd w:id="240"/>
    </w:p>
    <w:p w14:paraId="21D0822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贯彻新时代党解决台湾问题的总体方略，坚持一个中国原则和“九二共识”，坚决打击“台独”分裂势力，反对外部势力干涉，维护台海和平稳定，牢牢把握两岸关系主导权主动权，增进两岸同胞福祉，坚定守护中华民族共同家园。</w:t>
      </w:r>
    </w:p>
    <w:p w14:paraId="072DB897">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推动两岸经济合作</w:t>
      </w:r>
    </w:p>
    <w:p w14:paraId="524D7F8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持续出台实施惠及台胞台企的政策措施，引导台胞台企积极融入和服务构建新发展格局，支持台企扎根大陆发展，参与国家区域发展战略和共建“一带一路”，加强产业合作，打造两岸共同市场。支持福建高质量建设两岸融合发展示范区，推进平潭、昆山、东莞等两岸合作重点平台和海峡两岸产业合作区建设。支持建设多层次两岸金融市场，鼓励符合条件的台资企业在大陆上市。</w:t>
      </w:r>
    </w:p>
    <w:p w14:paraId="7C780D9B">
      <w:pPr>
        <w:ind w:firstLine="640" w:firstLineChars="200"/>
        <w:outlineLvl w:val="0"/>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深化两岸交流</w:t>
      </w:r>
    </w:p>
    <w:p w14:paraId="792EA23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完善促进两岸经济文化交流合作制度和政策，扩大两岸人员往来，推动两岸交流交往交融。深化两岸教育、医疗等领域合作和社会保障、公共资源共享。促进两岸文化交流，共同传承弘扬中华文化，增进台湾同胞的民族认同、文化认同、国家认同。加强青年、基层等方面交流，持续为台湾青年来大陆追梦筑梦圆梦创造更好条件。落实台湾同胞享受同等待遇政策，为台胞在大陆学习、工作、生活创造更好条件。团结广大台湾同胞，共创中华民族绵长福祉。</w:t>
      </w:r>
    </w:p>
    <w:p w14:paraId="7CA912B6">
      <w:pPr>
        <w:keepNext w:val="0"/>
        <w:keepLines w:val="0"/>
        <w:pageBreakBefore w:val="0"/>
        <w:widowControl w:val="0"/>
        <w:kinsoku/>
        <w:wordWrap/>
        <w:overflowPunct/>
        <w:topLinePunct w:val="0"/>
        <w:autoSpaceDE/>
        <w:autoSpaceDN/>
        <w:bidi w:val="0"/>
        <w:adjustRightInd/>
        <w:snapToGrid/>
        <w:spacing w:before="157" w:beforeLines="50" w:after="157" w:afterLines="50"/>
        <w:ind w:firstLine="800" w:firstLineChars="200"/>
        <w:textAlignment w:val="auto"/>
        <w:outlineLvl w:val="0"/>
        <w:rPr>
          <w:rFonts w:hint="default" w:ascii="方正小标宋简体" w:hAnsi="方正小标宋简体" w:eastAsia="方正小标宋简体" w:cs="方正小标宋简体"/>
          <w:sz w:val="40"/>
          <w:szCs w:val="40"/>
          <w:lang w:val="en-US" w:eastAsia="zh-CN"/>
        </w:rPr>
      </w:pPr>
      <w:bookmarkStart w:id="241" w:name="_Toc29248"/>
      <w:r>
        <w:rPr>
          <w:rFonts w:hint="default" w:ascii="方正小标宋简体" w:hAnsi="方正小标宋简体" w:eastAsia="方正小标宋简体" w:cs="方正小标宋简体"/>
          <w:sz w:val="40"/>
          <w:szCs w:val="40"/>
          <w:lang w:val="en-US" w:eastAsia="zh-CN"/>
        </w:rPr>
        <w:t>第十八篇</w:t>
      </w:r>
      <w:r>
        <w:rPr>
          <w:rFonts w:hint="eastAsia" w:ascii="方正小标宋简体" w:hAnsi="方正小标宋简体" w:eastAsia="方正小标宋简体" w:cs="方正小标宋简体"/>
          <w:sz w:val="40"/>
          <w:szCs w:val="40"/>
          <w:lang w:val="en-US" w:eastAsia="zh-CN"/>
        </w:rPr>
        <w:t xml:space="preserve"> </w:t>
      </w:r>
      <w:r>
        <w:rPr>
          <w:rFonts w:hint="default" w:ascii="方正小标宋简体" w:hAnsi="方正小标宋简体" w:eastAsia="方正小标宋简体" w:cs="方正小标宋简体"/>
          <w:sz w:val="40"/>
          <w:szCs w:val="40"/>
          <w:lang w:val="en-US" w:eastAsia="zh-CN"/>
        </w:rPr>
        <w:t>加强规划实施保障</w:t>
      </w:r>
      <w:bookmarkEnd w:id="241"/>
    </w:p>
    <w:p w14:paraId="76C5862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和加强党的全面领导，持之以恒推进全面从严治党，增强党的政治领导力、思想引领力、群众组织力、社会号召力，提高党领导经济社会发展能力和水平，健全国家经济社会发展规划制度体系，为推进中国式现代化凝聚磅礴力量。</w:t>
      </w:r>
    </w:p>
    <w:p w14:paraId="76F3E2B5">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42" w:name="_Toc3888"/>
      <w:r>
        <w:rPr>
          <w:rFonts w:hint="default" w:ascii="Times New Roman" w:hAnsi="Times New Roman" w:eastAsia="黑体" w:cs="Times New Roman"/>
          <w:color w:val="000000"/>
          <w:sz w:val="32"/>
          <w:lang w:val="en-US" w:eastAsia="zh-CN"/>
        </w:rPr>
        <w:t>第六十一章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坚持和加强党中央集中统一领导</w:t>
      </w:r>
      <w:bookmarkEnd w:id="242"/>
    </w:p>
    <w:p w14:paraId="671F0FB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坚决维护党中央权威和集中统一领导，充分发挥党总揽全局、协调各方的领导核心作用，为推进规划实施提供根本保证。</w:t>
      </w:r>
    </w:p>
    <w:p w14:paraId="066D9AD1">
      <w:pPr>
        <w:ind w:firstLine="640" w:firstLineChars="200"/>
        <w:outlineLvl w:val="0"/>
        <w:rPr>
          <w:rFonts w:hint="default" w:ascii="楷体_GB2312" w:hAnsi="楷体_GB2312" w:eastAsia="楷体_GB2312" w:cs="楷体_GB2312"/>
          <w:lang w:val="en-US" w:eastAsia="zh-CN"/>
        </w:rPr>
      </w:pPr>
      <w:bookmarkStart w:id="243" w:name="_Toc4488"/>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强化党对规划实施全过程的领导</w:t>
      </w:r>
      <w:bookmarkEnd w:id="243"/>
    </w:p>
    <w:p w14:paraId="00988E2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深入学习贯彻习近平新时代中国特色社会主义思想，持续用党的创新理论统一思想、统一意志、统一行动。完善党中央重大决策部署落实机制，加强规划实施的统筹协调和指导推动，形成分工明确、协同联动、广泛参与的规划实施工作格局，确保上下贯通、执行有力。健全和落实民主集中制，坚持科学决策、民主决策、依法决策。深入开展整治形式主义为基层减负工作。规划中期评估、总结评估情况和实施中的重大情况及时向党中央请示报告，各地区各部门要把规划目标任务落实情况作为重要工作内容向党中央报告。统筹推进各领域基层党组织建设，增强党组织政治功能和组织功能，发挥党员先锋模范作用。贯彻尊重劳动、尊重知识、尊重人才、尊重创造的方针，激发全社会干事创业、创新创造活力，形成人尽其才、才尽其用、万众一心、勠力进取的生动局面。</w:t>
      </w:r>
    </w:p>
    <w:p w14:paraId="4B20A40C">
      <w:pPr>
        <w:ind w:firstLine="640" w:firstLineChars="200"/>
        <w:outlineLvl w:val="0"/>
        <w:rPr>
          <w:rFonts w:hint="default" w:ascii="楷体_GB2312" w:hAnsi="楷体_GB2312" w:eastAsia="楷体_GB2312" w:cs="楷体_GB2312"/>
          <w:lang w:val="en-US" w:eastAsia="zh-CN"/>
        </w:rPr>
      </w:pPr>
      <w:bookmarkStart w:id="244" w:name="_Toc8631"/>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全面增强干部队伍现代化建设能力</w:t>
      </w:r>
      <w:bookmarkEnd w:id="244"/>
    </w:p>
    <w:p w14:paraId="6643C73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坚持正确用人导向，坚持把政治标准放在首位，建强领导班子和干部队伍。教育和引导各级干部树立和践行正确政绩观，坚持从实际出发、按规律办事，自觉为人民出政绩、以实干出政绩，以正确政绩观推动高质量、可持续的发展，以实绩实效回应人民群众新要求新期待。完善差异化考核评价体系，提高考核的针对性和科学性。强化教育培训和实践锻炼，提高干部队伍现代化建设本领。坚持严管厚爱结合、激励约束并重，激发干部队伍内生动力和整体活力。</w:t>
      </w:r>
    </w:p>
    <w:p w14:paraId="7B0A5DE8">
      <w:pPr>
        <w:ind w:firstLine="640" w:firstLineChars="200"/>
        <w:outlineLvl w:val="0"/>
        <w:rPr>
          <w:rFonts w:hint="default" w:ascii="楷体_GB2312" w:hAnsi="楷体_GB2312" w:eastAsia="楷体_GB2312" w:cs="楷体_GB2312"/>
          <w:lang w:val="en-US" w:eastAsia="zh-CN"/>
        </w:rPr>
      </w:pPr>
      <w:bookmarkStart w:id="245" w:name="_Toc890"/>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完善党和国家监督体系</w:t>
      </w:r>
      <w:bookmarkEnd w:id="245"/>
    </w:p>
    <w:p w14:paraId="12F9CEF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更高标准、更实举措推进全面从严治党，健全党统一领导、全面覆盖、权威高效的监督体系，加强对权力配置、运行的规范和监督，健全授权用权制权相统一、清晰透明可追溯的制度机制，增强法规制度执行力，营造风清气正的政治生态。强化全面从严治党政治责任，推进政治监督具体化精准化常态化，发挥政治巡视利剑作用。锲而不舍落实中央八项规定精神，狠刹各种不正之风，推进作风建设常态化长效化。保持反腐败永远在路上的清醒坚定，一体推进不敢腐、不能腐、不想腐，着力铲除腐败滋生的土壤和条件，坚决打好反腐败斗争攻坚战、持久战、总体战，坚定不移走好中国特色反腐败之路。严肃查处政商勾连破坏政治生态和经济发展环境问题，严查权力集中、资金密集、资源富集领域腐败，有效防治新型腐败和隐性腐败，持续深化整治群众身边不正之风和腐败问题。加强对“一把手”等“关键少数”和年轻干部等重点群体的监督，深化受贿行贿一起查。推进反腐败国家立法。以党内监督为主导，推动各类监督贯通协调，深化拓展纪检监察监督与审计监督、财会监督、统计监督等协作配合机制。加强反腐败国际合作，一体构建追逃防逃追赃机制，加大跨境腐败治理力度。深化纪检监察体制改革，加强纪检监察工作规范化法治化正规化建设。</w:t>
      </w:r>
    </w:p>
    <w:p w14:paraId="2B7A1FF6">
      <w:pPr>
        <w:ind w:left="0" w:leftChars="0" w:firstLine="0" w:firstLineChars="0"/>
        <w:jc w:val="center"/>
        <w:outlineLvl w:val="0"/>
        <w:rPr>
          <w:rFonts w:hint="default" w:ascii="Times New Roman" w:hAnsi="Times New Roman" w:eastAsia="黑体" w:cs="Times New Roman"/>
          <w:color w:val="000000"/>
          <w:sz w:val="32"/>
          <w:lang w:val="en-US" w:eastAsia="zh-CN"/>
        </w:rPr>
      </w:pPr>
      <w:bookmarkStart w:id="246" w:name="_Toc24430"/>
      <w:r>
        <w:rPr>
          <w:rFonts w:hint="default" w:ascii="Times New Roman" w:hAnsi="Times New Roman" w:eastAsia="黑体" w:cs="Times New Roman"/>
          <w:color w:val="000000"/>
          <w:sz w:val="32"/>
          <w:lang w:val="en-US" w:eastAsia="zh-CN"/>
        </w:rPr>
        <w:t>第六十二章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健全规划实施全周期推进机制</w:t>
      </w:r>
      <w:bookmarkEnd w:id="246"/>
    </w:p>
    <w:p w14:paraId="4AA2A35B">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实施国家发展规划法，健全统一规划体系，充分调动全社会积极性主动性创造性，有力有序推进各项目标任务实施，确保党中央决策部署落到实处。</w:t>
      </w:r>
    </w:p>
    <w:p w14:paraId="0BA4CC4A">
      <w:pPr>
        <w:ind w:firstLine="640" w:firstLineChars="200"/>
        <w:outlineLvl w:val="0"/>
        <w:rPr>
          <w:rFonts w:hint="default" w:ascii="楷体_GB2312" w:hAnsi="楷体_GB2312" w:eastAsia="楷体_GB2312" w:cs="楷体_GB2312"/>
          <w:lang w:val="en-US" w:eastAsia="zh-CN"/>
        </w:rPr>
      </w:pPr>
      <w:bookmarkStart w:id="247" w:name="_Toc24389"/>
      <w:r>
        <w:rPr>
          <w:rFonts w:hint="default" w:ascii="楷体_GB2312" w:hAnsi="楷体_GB2312" w:eastAsia="楷体_GB2312" w:cs="楷体_GB2312"/>
          <w:lang w:val="en-US" w:eastAsia="zh-CN"/>
        </w:rPr>
        <w:t>第一节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形成统一规划体系合力</w:t>
      </w:r>
      <w:bookmarkEnd w:id="247"/>
    </w:p>
    <w:p w14:paraId="632AD75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建立健全定位准确、边界清晰、功能互补、统一衔接的国家规划体系，为国家发展规划实施提供有效支撑。依据国家发展规划同步部署、同步编制、同步实施一批国家级重点专项规划、国家级区域实施方案。统筹各级各类规划编制，精简数量、提高质量，加强规划间衔接协调，防止规划过多过滥、缺乏实效。规范各类规划衔接报审程序，报请党中央、国务院批准的规划须经国务院发展改革部门与国家发展规划进行衔接，省级发展规划须按程序报送国务院发展改革部门进行衔接并做好落实。加强省级政府对市县规划编制的指导，确保重大产业、重大基础设施等布局符合国家战略重点。年度计划要滚动落实规划各项任务，将规划主要指标分解纳入年度计划指标体系并做好年度间综合平衡。完善国家发展规划法配套法规和政策制度体系，加强国家级专项规划规范管理，鼓励地方结合实际制定本地区发展规划条例。</w:t>
      </w:r>
    </w:p>
    <w:p w14:paraId="21E1C28D">
      <w:pPr>
        <w:ind w:firstLine="640" w:firstLineChars="200"/>
        <w:outlineLvl w:val="0"/>
        <w:rPr>
          <w:rFonts w:hint="default" w:ascii="楷体_GB2312" w:hAnsi="楷体_GB2312" w:eastAsia="楷体_GB2312" w:cs="楷体_GB2312"/>
          <w:lang w:val="en-US" w:eastAsia="zh-CN"/>
        </w:rPr>
      </w:pPr>
      <w:bookmarkStart w:id="248" w:name="_Toc7769"/>
      <w:r>
        <w:rPr>
          <w:rFonts w:hint="default" w:ascii="楷体_GB2312" w:hAnsi="楷体_GB2312" w:eastAsia="楷体_GB2312" w:cs="楷体_GB2312"/>
          <w:lang w:val="en-US" w:eastAsia="zh-CN"/>
        </w:rPr>
        <w:t>第二节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分类推进规划任务落实</w:t>
      </w:r>
      <w:bookmarkEnd w:id="248"/>
    </w:p>
    <w:p w14:paraId="62F6733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建立健全规划实施机制，明确目标任务分工，各地区各部门要制定可操作可评估的具体工作安排和推进措施，对约束性指标和公共服务、生态环保、安全保障等任务，强化责任分解落实；对预期性指标和产业发展、结构调整等任务，通过创造良好政策环境、体制环境和法治环境推进落实。细化重大工程项目清单，分类推进单体项目、打捆项目落地实施，“十五五”期间开展前期工作的项目，条件成熟的按程序推动开工建设。</w:t>
      </w:r>
    </w:p>
    <w:p w14:paraId="65C27FC1">
      <w:pPr>
        <w:ind w:firstLine="640" w:firstLineChars="200"/>
        <w:outlineLvl w:val="0"/>
        <w:rPr>
          <w:rFonts w:hint="default" w:ascii="楷体_GB2312" w:hAnsi="楷体_GB2312" w:eastAsia="楷体_GB2312" w:cs="楷体_GB2312"/>
          <w:lang w:val="en-US" w:eastAsia="zh-CN"/>
        </w:rPr>
      </w:pPr>
      <w:bookmarkStart w:id="249" w:name="_Toc30787"/>
      <w:r>
        <w:rPr>
          <w:rFonts w:hint="default" w:ascii="楷体_GB2312" w:hAnsi="楷体_GB2312" w:eastAsia="楷体_GB2312" w:cs="楷体_GB2312"/>
          <w:lang w:val="en-US" w:eastAsia="zh-CN"/>
        </w:rPr>
        <w:t>第三节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强化政策协同保障</w:t>
      </w:r>
      <w:bookmarkEnd w:id="249"/>
    </w:p>
    <w:p w14:paraId="1E38A97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围绕实施国家发展规划，健全政策协调和工作协同机制。将国家发展规划作为宏观政策取向一致性评估的重要依据，确保各类政策发力方向符合国家发展规划要求。强化中期财政规划和年度预算安排对规划实施的财力保障，中央财政资金优先投向规划确定的重大战略任务、重大政策举措和重大工程项目。金融政策要积极支持规划确定的重点发展领域。坚持项目跟着规划走、资金和要素跟着项目走、监管跟着项目和资金走，加快规划确定的重大工程项目审批核准，优先保障规划选址、用地用海和资金需求，单体重大工程项目用地等要素需求由国家统一保障。加强对重大工程项目的伴随式穿透式监管和全过程全周期安全管理。</w:t>
      </w:r>
    </w:p>
    <w:p w14:paraId="42F996C0">
      <w:pPr>
        <w:ind w:firstLine="640" w:firstLineChars="200"/>
        <w:outlineLvl w:val="0"/>
        <w:rPr>
          <w:rFonts w:hint="default" w:ascii="楷体_GB2312" w:hAnsi="楷体_GB2312" w:eastAsia="楷体_GB2312" w:cs="楷体_GB2312"/>
          <w:lang w:val="en-US" w:eastAsia="zh-CN"/>
        </w:rPr>
      </w:pPr>
      <w:bookmarkStart w:id="250" w:name="_Toc27709"/>
      <w:r>
        <w:rPr>
          <w:rFonts w:hint="default" w:ascii="楷体_GB2312" w:hAnsi="楷体_GB2312" w:eastAsia="楷体_GB2312" w:cs="楷体_GB2312"/>
          <w:lang w:val="en-US" w:eastAsia="zh-CN"/>
        </w:rPr>
        <w:t>第四节</w:t>
      </w:r>
      <w:r>
        <w:rPr>
          <w:rFonts w:hint="eastAsia" w:ascii="楷体_GB2312" w:hAnsi="楷体_GB2312" w:eastAsia="楷体_GB2312" w:cs="楷体_GB2312"/>
          <w:lang w:val="en-US" w:eastAsia="zh-CN"/>
        </w:rPr>
        <w:t xml:space="preserve"> </w:t>
      </w:r>
      <w:r>
        <w:rPr>
          <w:rFonts w:hint="default" w:ascii="楷体_GB2312" w:hAnsi="楷体_GB2312" w:eastAsia="楷体_GB2312" w:cs="楷体_GB2312"/>
          <w:lang w:val="en-US" w:eastAsia="zh-CN"/>
        </w:rPr>
        <w:t>加强规划实施监测评估和监督</w:t>
      </w:r>
      <w:bookmarkEnd w:id="250"/>
    </w:p>
    <w:p w14:paraId="373B8F1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开展规划实施情况动态监测、中期评估和总结评估，加强形势跟踪和风险研判，根据监测评估情况及时提出加强和改进规划实施的政策举措。经党中央同意后，中期评估情况依法向全国人民代表大会常务委员会报告，总结评估报告依法提交全国人民代表大会，自觉接受人大监督。经评估确需对本规划进行调整时，由国务院提出调整方案，报党中央同意后，提请全国人民代表大会常务委员会审查和批准。把完善党和国家监督体系融入规划实施之中，发挥纪检监察机关和审计机关等对规划实施的监督作用，健全跨地区跨部门重大任务落实协同监督机制。规划实施情况及时公开，接受社会各界监督。</w:t>
      </w:r>
    </w:p>
    <w:p w14:paraId="7059D13C">
      <w:pPr>
        <w:rPr>
          <w:rFonts w:hint="default" w:ascii="Times New Roman" w:hAnsi="Times New Roman" w:eastAsia="仿宋_GB2312" w:cs="Times New Roman"/>
          <w:sz w:val="32"/>
          <w:lang w:val="en-US" w:eastAsia="zh-CN"/>
        </w:rPr>
      </w:pPr>
    </w:p>
    <w:p w14:paraId="78D34E5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来源：《人民日报》（2026年03月14日第01版）</w:t>
      </w:r>
    </w:p>
    <w:p w14:paraId="43CB5A2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br w:type="page"/>
      </w:r>
    </w:p>
    <w:p w14:paraId="3B0FF2A8">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3.中华人民共和国民族团结进步促进法</w:t>
      </w:r>
    </w:p>
    <w:p w14:paraId="4E89A0BD">
      <w:pPr>
        <w:rPr>
          <w:rFonts w:hint="default" w:ascii="Times New Roman" w:hAnsi="Times New Roman" w:eastAsia="仿宋_GB2312" w:cs="Times New Roman"/>
          <w:sz w:val="32"/>
          <w:lang w:val="en-US" w:eastAsia="zh-CN"/>
        </w:rPr>
      </w:pPr>
    </w:p>
    <w:p w14:paraId="634E5E93">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中华人民共和国民族团结进步促进法</w:t>
      </w:r>
    </w:p>
    <w:p w14:paraId="72248AE1">
      <w:pPr>
        <w:ind w:left="0" w:leftChars="0" w:firstLine="0" w:firstLineChars="0"/>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 xml:space="preserve">（2026年3月12日第十四届全国人民代表大会第四次会议通过） </w:t>
      </w:r>
    </w:p>
    <w:p w14:paraId="0D9C93BC">
      <w:pPr>
        <w:rPr>
          <w:rFonts w:hint="default" w:ascii="Times New Roman" w:hAnsi="Times New Roman" w:eastAsia="仿宋_GB2312" w:cs="Times New Roman"/>
          <w:sz w:val="32"/>
          <w:lang w:val="en-US" w:eastAsia="zh-CN"/>
        </w:rPr>
      </w:pPr>
    </w:p>
    <w:p w14:paraId="64649015">
      <w:pPr>
        <w:rPr>
          <w:rFonts w:hint="eastAsia" w:ascii="黑体" w:hAnsi="黑体" w:eastAsia="黑体" w:cs="黑体"/>
          <w:lang w:val="en-US" w:eastAsia="zh-CN"/>
        </w:rPr>
      </w:pPr>
      <w:r>
        <w:rPr>
          <w:rFonts w:hint="eastAsia" w:ascii="黑体" w:hAnsi="黑体" w:eastAsia="黑体" w:cs="黑体"/>
          <w:lang w:val="en-US" w:eastAsia="zh-CN"/>
        </w:rPr>
        <w:t xml:space="preserve">目 录 </w:t>
      </w:r>
    </w:p>
    <w:p w14:paraId="3F19C995">
      <w:pPr>
        <w:rPr>
          <w:rFonts w:hint="eastAsia" w:ascii="黑体" w:hAnsi="黑体" w:eastAsia="黑体" w:cs="黑体"/>
          <w:lang w:val="en-US" w:eastAsia="zh-CN"/>
        </w:rPr>
      </w:pPr>
      <w:r>
        <w:rPr>
          <w:rFonts w:hint="eastAsia" w:ascii="黑体" w:hAnsi="黑体" w:eastAsia="黑体" w:cs="黑体"/>
          <w:lang w:val="en-US" w:eastAsia="zh-CN"/>
        </w:rPr>
        <w:t>序 言</w:t>
      </w:r>
    </w:p>
    <w:p w14:paraId="0D064AE4">
      <w:pPr>
        <w:rPr>
          <w:rFonts w:hint="eastAsia" w:ascii="黑体" w:hAnsi="黑体" w:eastAsia="黑体" w:cs="黑体"/>
          <w:lang w:val="en-US" w:eastAsia="zh-CN"/>
        </w:rPr>
      </w:pPr>
      <w:r>
        <w:rPr>
          <w:rFonts w:hint="eastAsia" w:ascii="黑体" w:hAnsi="黑体" w:eastAsia="黑体" w:cs="黑体"/>
          <w:lang w:val="en-US" w:eastAsia="zh-CN"/>
        </w:rPr>
        <w:t>第一章 总 则</w:t>
      </w:r>
    </w:p>
    <w:p w14:paraId="56EE46D3">
      <w:pPr>
        <w:rPr>
          <w:rFonts w:hint="eastAsia" w:ascii="黑体" w:hAnsi="黑体" w:eastAsia="黑体" w:cs="黑体"/>
          <w:lang w:val="en-US" w:eastAsia="zh-CN"/>
        </w:rPr>
      </w:pPr>
      <w:r>
        <w:rPr>
          <w:rFonts w:hint="eastAsia" w:ascii="黑体" w:hAnsi="黑体" w:eastAsia="黑体" w:cs="黑体"/>
          <w:lang w:val="en-US" w:eastAsia="zh-CN"/>
        </w:rPr>
        <w:t>第二章 构筑共有精神家园</w:t>
      </w:r>
    </w:p>
    <w:p w14:paraId="3C86C3B4">
      <w:pPr>
        <w:rPr>
          <w:rFonts w:hint="eastAsia" w:ascii="黑体" w:hAnsi="黑体" w:eastAsia="黑体" w:cs="黑体"/>
          <w:lang w:val="en-US" w:eastAsia="zh-CN"/>
        </w:rPr>
      </w:pPr>
      <w:r>
        <w:rPr>
          <w:rFonts w:hint="eastAsia" w:ascii="黑体" w:hAnsi="黑体" w:eastAsia="黑体" w:cs="黑体"/>
          <w:lang w:val="en-US" w:eastAsia="zh-CN"/>
        </w:rPr>
        <w:t>第三章 促进交往交流交融</w:t>
      </w:r>
    </w:p>
    <w:p w14:paraId="6C202B2D">
      <w:pPr>
        <w:rPr>
          <w:rFonts w:hint="eastAsia" w:ascii="黑体" w:hAnsi="黑体" w:eastAsia="黑体" w:cs="黑体"/>
          <w:lang w:val="en-US" w:eastAsia="zh-CN"/>
        </w:rPr>
      </w:pPr>
      <w:r>
        <w:rPr>
          <w:rFonts w:hint="eastAsia" w:ascii="黑体" w:hAnsi="黑体" w:eastAsia="黑体" w:cs="黑体"/>
          <w:lang w:val="en-US" w:eastAsia="zh-CN"/>
        </w:rPr>
        <w:t>第四章 推动共同繁荣发展</w:t>
      </w:r>
    </w:p>
    <w:p w14:paraId="1B69805F">
      <w:pPr>
        <w:rPr>
          <w:rFonts w:hint="eastAsia" w:ascii="黑体" w:hAnsi="黑体" w:eastAsia="黑体" w:cs="黑体"/>
          <w:lang w:val="en-US" w:eastAsia="zh-CN"/>
        </w:rPr>
      </w:pPr>
      <w:r>
        <w:rPr>
          <w:rFonts w:hint="eastAsia" w:ascii="黑体" w:hAnsi="黑体" w:eastAsia="黑体" w:cs="黑体"/>
          <w:lang w:val="en-US" w:eastAsia="zh-CN"/>
        </w:rPr>
        <w:t>第五章 保障与监督</w:t>
      </w:r>
    </w:p>
    <w:p w14:paraId="787890CE">
      <w:pPr>
        <w:rPr>
          <w:rFonts w:hint="eastAsia" w:ascii="黑体" w:hAnsi="黑体" w:eastAsia="黑体" w:cs="黑体"/>
          <w:lang w:val="en-US" w:eastAsia="zh-CN"/>
        </w:rPr>
      </w:pPr>
      <w:r>
        <w:rPr>
          <w:rFonts w:hint="eastAsia" w:ascii="黑体" w:hAnsi="黑体" w:eastAsia="黑体" w:cs="黑体"/>
          <w:lang w:val="en-US" w:eastAsia="zh-CN"/>
        </w:rPr>
        <w:t>第六章 法律责任</w:t>
      </w:r>
    </w:p>
    <w:p w14:paraId="09379C43">
      <w:pPr>
        <w:rPr>
          <w:rFonts w:hint="eastAsia" w:ascii="黑体" w:hAnsi="黑体" w:eastAsia="黑体" w:cs="黑体"/>
          <w:lang w:val="en-US" w:eastAsia="zh-CN"/>
        </w:rPr>
      </w:pPr>
      <w:r>
        <w:rPr>
          <w:rFonts w:hint="eastAsia" w:ascii="黑体" w:hAnsi="黑体" w:eastAsia="黑体" w:cs="黑体"/>
          <w:lang w:val="en-US" w:eastAsia="zh-CN"/>
        </w:rPr>
        <w:t>第七章 附 则</w:t>
      </w:r>
    </w:p>
    <w:p w14:paraId="6F1E43A1">
      <w:pPr>
        <w:rPr>
          <w:rFonts w:hint="default" w:ascii="Times New Roman" w:hAnsi="Times New Roman" w:eastAsia="仿宋_GB2312" w:cs="Times New Roman"/>
          <w:sz w:val="32"/>
          <w:lang w:val="en-US" w:eastAsia="zh-CN"/>
        </w:rPr>
      </w:pPr>
    </w:p>
    <w:p w14:paraId="64B6B693">
      <w:pPr>
        <w:rPr>
          <w:rFonts w:hint="eastAsia" w:ascii="Times New Roman" w:hAnsi="Times New Roman" w:eastAsia="黑体" w:cs="Times New Roman"/>
          <w:color w:val="000000"/>
          <w:sz w:val="32"/>
          <w:lang w:val="en-US" w:eastAsia="zh-CN"/>
        </w:rPr>
      </w:pPr>
      <w:r>
        <w:rPr>
          <w:rFonts w:hint="eastAsia" w:ascii="Times New Roman" w:hAnsi="Times New Roman" w:eastAsia="黑体" w:cs="Times New Roman"/>
          <w:color w:val="000000"/>
          <w:sz w:val="32"/>
          <w:lang w:val="en-US" w:eastAsia="zh-CN"/>
        </w:rPr>
        <w:t>序</w:t>
      </w:r>
      <w:r>
        <w:rPr>
          <w:rFonts w:hint="eastAsia" w:eastAsia="黑体" w:cs="Times New Roman"/>
          <w:color w:val="000000"/>
          <w:sz w:val="32"/>
          <w:lang w:val="en-US" w:eastAsia="zh-CN"/>
        </w:rPr>
        <w:t xml:space="preserve"> </w:t>
      </w:r>
      <w:r>
        <w:rPr>
          <w:rFonts w:hint="eastAsia" w:ascii="Times New Roman" w:hAnsi="Times New Roman" w:eastAsia="黑体" w:cs="Times New Roman"/>
          <w:color w:val="000000"/>
          <w:sz w:val="32"/>
          <w:lang w:val="en-US" w:eastAsia="zh-CN"/>
        </w:rPr>
        <w:t>言</w:t>
      </w:r>
    </w:p>
    <w:p w14:paraId="765BA01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国是世界上历史最悠久的国家之一，中华民族是有着五千多年文明史的伟大民族。中国各族人民在长期交往交流交融中，共同开拓了祖国的辽阔疆域，共同缔造了统一的多民族国家，共同书写了辉煌的中国历史，共同创造了灿烂的中华文化，共同培育了伟大的民族精神，凝聚成血脉相融、信念相同、文化相通、经济相依、情感相亲的命运共同体。</w:t>
      </w:r>
    </w:p>
    <w:p w14:paraId="39C9DC7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一八四〇年以后，封建的中国逐渐变成半殖民地、半封建的国家。中国各族人民始终坚持国土不可分、国家不可乱、民族不可散、文明不可断的大一统信念，在救亡图存、共御外侮的英勇斗争中，实现了中华民族从自在到自觉的伟大转变。</w:t>
      </w:r>
    </w:p>
    <w:p w14:paraId="1C4CB69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国共产党是中国工人阶级的先锋队，同时是中国人民和中华民族的先锋队，始终把为中国人民谋幸福、为中华民族谋复兴作为初心使命，团结带领全国各族人民实现了民族独立和人民解放，建立了中华人民共和国，确保各族人民真正获得平等政治权利、共同当家做主人，实现各民族共同团结奋斗、共同繁荣发展，创造性地走出了一条中国特色解决民族问题的正确道路，中华民族面貌发生了历史性巨变。</w:t>
      </w:r>
    </w:p>
    <w:p w14:paraId="3C8CC9B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国特色社会主义进入新时代，中国共产党坚持把马克思主义民族理论同中国民族问题具体实际相结合、同中华优秀传统文化相结合，把铸牢中华民族共同体意识作为党的民族工作主线、民族地区各项工作的主线，形成了中国共产党关于加强和改进民族工作的重要思想，开辟了马克思主义民族理论中国化时代化新境界，中华民族共同体建设取得历史性成就。</w:t>
      </w:r>
    </w:p>
    <w:p w14:paraId="28D7A36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中华民族是各民族凝聚成的多元一体大家庭。民族团结是我国各族人民的生命线。实现中华民族伟大复兴是全体中华儿女的共同追求，维护国家统一、促进民族团结进步是全体中国人民的共同责任。</w:t>
      </w:r>
    </w:p>
    <w:p w14:paraId="0F7602A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全国各族人民、一切国家机关和武装力量、各政党和各社会团体、各企业事业组织，都要依照宪法和法律，把铸牢中华民族共同体意识、推进中华民族共同体建设作为共同任务，着眼中华民族根本利益和整体利益，以增进共同性为方向，维护、巩固和发展平等团结互助和谐的社会主义民族关系，高质量推进民族团结进步事业，以中华民族大团结促进中国式现代化，为全面建设社会主义现代化国家、全面推进中华民族伟大复兴而团结奋斗。</w:t>
      </w:r>
    </w:p>
    <w:p w14:paraId="70755C34">
      <w:pPr>
        <w:rPr>
          <w:rFonts w:hint="default" w:ascii="Times New Roman" w:hAnsi="Times New Roman" w:eastAsia="黑体" w:cs="Times New Roman"/>
          <w:color w:val="000000"/>
          <w:sz w:val="32"/>
          <w:lang w:val="en-US" w:eastAsia="zh-CN"/>
        </w:rPr>
      </w:pPr>
      <w:bookmarkStart w:id="251" w:name="_Toc30104"/>
      <w:r>
        <w:rPr>
          <w:rFonts w:hint="default" w:ascii="Times New Roman" w:hAnsi="Times New Roman" w:eastAsia="黑体" w:cs="Times New Roman"/>
          <w:color w:val="000000"/>
          <w:sz w:val="32"/>
          <w:lang w:val="en-US" w:eastAsia="zh-CN"/>
        </w:rPr>
        <w:t>第一章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总</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则</w:t>
      </w:r>
      <w:bookmarkEnd w:id="251"/>
    </w:p>
    <w:p w14:paraId="6DC2E4F1">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第一条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为了促进民族团结进步，铸牢中华民族共同体意识，推进中华民族共同体建设，推动实现中华民族伟大复兴，根据宪法，制定本法。</w:t>
      </w:r>
    </w:p>
    <w:p w14:paraId="6966DAF1">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民族团结进步事业坚持中国共产党的全面领导，高举中国特色社会主义伟大旗帜，坚持马克思列宁主义、毛泽东思想、邓小平理论、“三个代表”重要思想、科学发展观，全面贯彻习近平新时代中国特色社会主义思想，巩固各民族团结奋斗的共同思想政治基础，坚定不移走中国特色解决民族问题的正确道路，为强国建设、民族复兴凝聚力量。</w:t>
      </w:r>
    </w:p>
    <w:p w14:paraId="4CD11E86">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铸牢中华民族共同体意识，应当引导各族人民牢固树立休戚与共、荣辱与共、生死与共、命运与共的共同体理念，增强中华民族凝聚力。</w:t>
      </w:r>
    </w:p>
    <w:p w14:paraId="272D87E1">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推进中华民族共同体建设，应当统筹经济、政治、文化、社会和生态文明建设，全面实现各民族共同繁荣发展，确保各族人民共同当家做主人，构筑中华民族共有精神家园，促进各民族全方位互嵌和广泛交往交流交融，共同守护人与自然和谐共生的生态家园，推动中华民族成为认同度更高、凝聚力更强的命运共同体。</w:t>
      </w:r>
    </w:p>
    <w:p w14:paraId="2FEFC0E5">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中华人民共和国公民在法律面前一律平等。</w:t>
      </w:r>
    </w:p>
    <w:p w14:paraId="12EAB73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中华人民共和国各民族一律平等。禁止对任何民族的歧视和压迫。</w:t>
      </w:r>
    </w:p>
    <w:p w14:paraId="28786ED3">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第六条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中华民族共同体意识是民族团结之本。国家坚持增进共同性、尊重和包容差异性，促进各民族守望相助、和谐共处，维护中华民族大团结。禁止破坏民族团结和制造民族分裂的行为。</w:t>
      </w:r>
    </w:p>
    <w:p w14:paraId="5AFF0A90">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第七条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国家推动各民族共同团结奋斗、共同繁荣发展，促进物质文明、政治文明、精神文明、社会文明、生态文明协调发展，全面推进中华民族发展进步。</w:t>
      </w:r>
    </w:p>
    <w:p w14:paraId="27288B1E">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第八条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国家坚持和完善民族区域自治制度，维护国家统一和民族团结。</w:t>
      </w:r>
    </w:p>
    <w:p w14:paraId="7FE46FA0">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第九条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家坚持依法治理民族事务，依法保障各族群众合法权益，加强宪法法律宣传教育，增强各族群众的国家意识、公民意识、法治意识，维护社会主义法治的统一、尊严和权威，在法治轨道上推进民族事务治理体系和治理能力现代化。</w:t>
      </w:r>
    </w:p>
    <w:p w14:paraId="610F5355">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第十条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中华人民共和国公民有维护国家统一和全国各民族团结的义务，应当维护国家主权、安全、发展利益。</w:t>
      </w:r>
    </w:p>
    <w:p w14:paraId="6832CE0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民族团结进步事业不受外部势力的干涉。坚决反对一切以民族、宗教、人权等借口对中华人民共和国实施污蔑抹黑、遏制打压、渗透破坏等行为。</w:t>
      </w:r>
    </w:p>
    <w:p w14:paraId="11C8848D">
      <w:pPr>
        <w:rPr>
          <w:rFonts w:hint="default" w:ascii="Times New Roman" w:hAnsi="Times New Roman" w:eastAsia="黑体" w:cs="Times New Roman"/>
          <w:color w:val="000000"/>
          <w:sz w:val="32"/>
          <w:lang w:val="en-US" w:eastAsia="zh-CN"/>
        </w:rPr>
      </w:pPr>
      <w:bookmarkStart w:id="252" w:name="_Toc10847"/>
      <w:r>
        <w:rPr>
          <w:rFonts w:hint="default" w:ascii="Times New Roman" w:hAnsi="Times New Roman" w:eastAsia="黑体" w:cs="Times New Roman"/>
          <w:color w:val="000000"/>
          <w:sz w:val="32"/>
          <w:lang w:val="en-US" w:eastAsia="zh-CN"/>
        </w:rPr>
        <w:t>第二章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构筑共有精神家园</w:t>
      </w:r>
      <w:bookmarkEnd w:id="252"/>
    </w:p>
    <w:p w14:paraId="408B3C0E">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第十一条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坚持以社会主义核心价值观为引领，深化爱国主义、集体主义、社会主义教育，引导各族群众弘扬以爱国主义为核心的民族精神和以改革创新为核心的时代精神，坚定对伟大祖国、中华民族、中华文化、中国共产党、中国特色社会主义的认同。</w:t>
      </w:r>
    </w:p>
    <w:p w14:paraId="760D20F2">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第十二条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国家组织开展中国共产党史、新中国史、改革开放史、社会主义发展史、中华民族发展史宣传教育，引导各族群众牢固树立正确的国家观、历史观、民族观、文化观、宗教观。</w:t>
      </w:r>
    </w:p>
    <w:p w14:paraId="112C352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中华人民共和国公民应当增强国家观念，传承和弘扬爱国主义精神，维护国旗、国歌、国徽等国家象征和标志的尊严。</w:t>
      </w:r>
    </w:p>
    <w:p w14:paraId="4F43A382">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第十三条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国家发展社会主义先进文化，弘扬革命文化，传承中华优秀传统文化，引导各族群众增进中华文化认同，增强中华文化自信。</w:t>
      </w:r>
    </w:p>
    <w:p w14:paraId="6D23493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各民族优秀传统文化都是中华文化的组成部分。国家坚持以社会主义先进文化引领各民族优秀传统文化的创造性转化和创新性发展，支持开展中华优秀传统文化的宣传和推广。</w:t>
      </w:r>
    </w:p>
    <w:p w14:paraId="36DE5C85">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各级人民政府应当加强对反映中华民族共同体形成和发展的文物古迹、传统建筑、名城名镇名村、历史街区、传统村落以及非物质文化遗产等各类文化资源的发掘、保护和合理利用。</w:t>
      </w:r>
    </w:p>
    <w:p w14:paraId="5C7CB71E">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第十四条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国家树立和突出各民族共有共享的中华文化符号和中华民族形象，依托中华民族的文化和自然遗产等资源，推动中华文明标识体系的构建。</w:t>
      </w:r>
    </w:p>
    <w:p w14:paraId="2E994EF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各级人民政府应当鼓励和支持在公共设施、规划及建筑设计、景区展陈、地名命名和公众活动等方面，表现和展示中华文化符号和中华民族形象。</w:t>
      </w:r>
    </w:p>
    <w:p w14:paraId="5326627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中华人民共和国公民应当维护中华民族的形象，尊重中华民族形成和发展的历史，不得进行侮辱、贬损和亵渎。</w:t>
      </w:r>
    </w:p>
    <w:p w14:paraId="77B0699E">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第十五条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国家全面推广普及国家通用语言文字。任何组织和个人不得妨碍公民学习和使用国家通用语言文字。</w:t>
      </w:r>
    </w:p>
    <w:p w14:paraId="1F4103E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学校及其他教育机构以国家通用语言文字为基本的教育教学用语用字。国家推动学前儿童学会普通话、完成义务教育的青少年能够基本掌握国家通用语言文字。</w:t>
      </w:r>
    </w:p>
    <w:p w14:paraId="7DD91BE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国家机关以国家通用语言文字为公务用语用字。依照有关法律规定需要使用少数民族语言文字发布文书的，应当同时提供国家通用语言文字版本和少数民族语言文字版本。</w:t>
      </w:r>
    </w:p>
    <w:p w14:paraId="5BCCC9D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国家机关、社会团体、企业事业组织和其他社会组织，在公共场合需要同时使用国家通用语言文字和少数民族语言文字的，应当在位置、顺序等方面突出国家通用语言文字。</w:t>
      </w:r>
    </w:p>
    <w:p w14:paraId="729E231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国家尊重和保障少数民族语言文字的学习和使用，推动少数民族语言文字的规范化、标准化和信息化建设，支持少数民族古籍的保护、整理、研究和利用。</w:t>
      </w:r>
    </w:p>
    <w:p w14:paraId="679E25D8">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第十六条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各级各类学校及其他教育机构应当将铸牢中华民族共同体意识的要求贯穿教育全过程，融入课堂教学、社会实践、主题教育和网络教育相结合的教育体系。</w:t>
      </w:r>
    </w:p>
    <w:p w14:paraId="76A060A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各级各类学校及其他教育机构应当按照国家有关规定使用国家统编教材。教育行政部门应当在教材的编写、审核中落实铸牢中华民族共同体意识的要求。</w:t>
      </w:r>
    </w:p>
    <w:p w14:paraId="4B6F174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国务院教育行政、民族工作等部门组织编写有关中华民族共同体的系列教材或者读本。</w:t>
      </w:r>
    </w:p>
    <w:p w14:paraId="1D814B81">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第十七条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推动中国自主的中华民族共同体史料体系、话语体系、理论体系建设，支持高等学校、科研机构等单位加强对中华民族共同体重大基础性问题的研究，阐释中华民族和中华文明多元一体格局的历史与内涵，揭示中华民族形成和发展的道理、学理、哲理。</w:t>
      </w:r>
    </w:p>
    <w:p w14:paraId="50F95C0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国家支持中华民族共同体理论研究人才的培养，优化学科专业设置和布局，推进学科体系建设，加强中华民族共同体研究机构建设。</w:t>
      </w:r>
    </w:p>
    <w:p w14:paraId="22FEC61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国家支持中华民族共同体学术交流平台建设，推动中外学术界、民间团体和智库开展交流合作。</w:t>
      </w:r>
    </w:p>
    <w:p w14:paraId="33999217">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第十八条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国家将铸牢中华民族共同体意识教育纳入国民教育、干部教育、社会教育体系。</w:t>
      </w:r>
    </w:p>
    <w:p w14:paraId="4389DF1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各级人民政府应当充分利用中华优秀传统文化资源、红色资源和体现中国特色社会主义建设成就的各类资源，因地制宜采取多种形式，广泛开展铸牢中华民族共同体意识教育。</w:t>
      </w:r>
    </w:p>
    <w:p w14:paraId="52644167">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第十九条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报刊、广播、电视等新闻媒体和出版单位、网络服务提供者应当开展有关铸牢中华民族共同体意识、推进中华民族共同体建设的宣传报道、成就展示等工作。</w:t>
      </w:r>
    </w:p>
    <w:p w14:paraId="469F532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国家推进国际传播能力建设，支持开展对外人文交流，阐释中华民族历史和中华民族共同体理论，宣传中华民族共同体建设的实践和成就，促进世界更好了解和认识中华民族和中华文化，推动人类文明交流互鉴。</w:t>
      </w:r>
    </w:p>
    <w:p w14:paraId="778CDFEC">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第二十条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各级人民政府应当推动将铸牢中华民族共同体意识的要求融入家庭、家教和家风建设。</w:t>
      </w:r>
    </w:p>
    <w:p w14:paraId="6497B9C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未成年人的父母或者其他监护人应当依法履行家庭教育责任，教育和引导未成年人热爱中国共产党、热爱祖国、热爱人民、热爱中华民族，树立中华民族一家亲的观念，不得向未成年人灌输不利于民族团结进步的观念。</w:t>
      </w:r>
    </w:p>
    <w:p w14:paraId="7ABA84F1">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第二十一条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国家支持香港特别行政区、澳门特别行政区开展中华民族历史、中华文化和国情教育，引导香港特别行政区同胞、澳门特别行政区同胞自觉维护国家主权、安全、发展利益。</w:t>
      </w:r>
    </w:p>
    <w:p w14:paraId="17BB052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国家促进两岸经济文化交流合作，深化两岸各领域融合发展，增进台湾同胞对中华民族的归属感、认同感、荣誉感，推动两岸同胞共同传承弘扬中华文化，增强同属中华民族、同是中国人的认识。</w:t>
      </w:r>
    </w:p>
    <w:p w14:paraId="5CE9F98C">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国家加强同海外侨胞的联系交流，支持海外侨胞弘扬中华文化、促进中外文化交流合作。</w:t>
      </w:r>
    </w:p>
    <w:p w14:paraId="44A71DA0">
      <w:pPr>
        <w:rPr>
          <w:rFonts w:hint="default" w:ascii="Times New Roman" w:hAnsi="Times New Roman" w:eastAsia="黑体" w:cs="Times New Roman"/>
          <w:color w:val="000000"/>
          <w:sz w:val="32"/>
          <w:lang w:val="en-US" w:eastAsia="zh-CN"/>
        </w:rPr>
      </w:pPr>
      <w:bookmarkStart w:id="253" w:name="_Toc22389"/>
      <w:r>
        <w:rPr>
          <w:rFonts w:hint="default" w:ascii="Times New Roman" w:hAnsi="Times New Roman" w:eastAsia="黑体" w:cs="Times New Roman"/>
          <w:color w:val="000000"/>
          <w:sz w:val="32"/>
          <w:lang w:val="en-US" w:eastAsia="zh-CN"/>
        </w:rPr>
        <w:t>第三章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促进交往交流交融</w:t>
      </w:r>
      <w:bookmarkEnd w:id="253"/>
    </w:p>
    <w:p w14:paraId="1171D2BF">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第二十二条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县级以上人民政府应当统筹经济社会发展规划和公共资源配置，推进互嵌式社区环境建设，完善各族群众共居共学、共建共享、共事共乐的社会条件。</w:t>
      </w:r>
    </w:p>
    <w:p w14:paraId="20C9849C">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第二十三条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县级以上地方人民政府应当将铸牢中华民族共同体意识的要求纳入城市规划、建设、治理和服务全过程，因地制宜完善友好型、包容性、融合式的城市民族工作政策措施。</w:t>
      </w:r>
    </w:p>
    <w:p w14:paraId="2E4A0B0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地方各级人民政府应当根据当地实际情况，在城乡建设、人口管理、住房政策、就业创业、社会服务等方面采取具体措施，促进各民族团结融合。</w:t>
      </w:r>
    </w:p>
    <w:p w14:paraId="72CC5FD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地方各级人民政府应当组织和引导各族群众共同参与社区建设、社区治理、社区活动，支持有关单位和组织提供社会服务，促进各族群众和谐融居。</w:t>
      </w:r>
    </w:p>
    <w:p w14:paraId="619A0E61">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第二十四条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县级以上人民政府应当加强民族地区之间、民族地区与其他地区之间人口流动服务平台的共建和信息的共享，增强协作能力，提高跨区域政务服务的便利化水平。</w:t>
      </w:r>
    </w:p>
    <w:p w14:paraId="521C647D">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第二十五条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县级以上人民政府应当依法保障民族地区之间、民族地区与其他地区之间跨区域就业创业公民的合法权益，支持开展法律法规和政策、国家通用语言文字、职业技能等方面的培训，开展职业指导、职业介绍等服务。</w:t>
      </w:r>
    </w:p>
    <w:p w14:paraId="4F27D333">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第二十六条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国务院教育行政部门和省级人民政府应当支持民族地区和其他地区高等学校双向跨区域招生，加强人才培养的协作。</w:t>
      </w:r>
    </w:p>
    <w:p w14:paraId="2CCA1F8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国务院教育行政部门和县级以上地方人民政府应当鼓励和支持民族地区和其他地区教师开展交流。</w:t>
      </w:r>
    </w:p>
    <w:p w14:paraId="186A83E8">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各级各类学校及其他教育机构应当结合学校和学生的特点，促进各族学生共同学习、共同生活、共同成长进步。</w:t>
      </w:r>
    </w:p>
    <w:p w14:paraId="3E532D43">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第二十七条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各级人民政府应当支持学校、群团组织和其他社会组织，利用中华民族共同体形成和发展的历史文化资源，开展青少年跨区域社会实践、研学游学和参观考察等交流活动，增强民族自豪感和自信心。</w:t>
      </w:r>
    </w:p>
    <w:p w14:paraId="298A87F7">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第二十八条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各级人民政府应当鼓励和支持志愿者和志愿服务组织，在各类志愿服务活动中促进各族群众的交流合作和友爱互助。</w:t>
      </w:r>
    </w:p>
    <w:p w14:paraId="773A370C">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第二十九条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国家增进各民族文化互鉴融通，鼓励各民族互相欣赏优秀传统文化、互相学习语言文字。各级人民政府应当支持文化工作者和有关单位，创作和展示具有中华文化底蕴、体现各民族交往交流交融的文艺作品。</w:t>
      </w:r>
    </w:p>
    <w:p w14:paraId="3ED2F990">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各级人民政府应当支持图书馆、博物馆、文化馆（站）、纪念馆、美术馆、科技馆、工人文化宫、青少年宫等公共文化服务单位，开展反映中华民族历史和国家繁荣发展等方面内容的展示和交流活动。</w:t>
      </w:r>
    </w:p>
    <w:p w14:paraId="40C2E8E1">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各级人民政府应当依托中华民族丰富的文化、体育等各类资源，鼓励和支持举办各族群众喜闻乐见、共同参与的中华民族传统节日、民俗文化、体育赛事等交流活动。</w:t>
      </w:r>
    </w:p>
    <w:p w14:paraId="6C34799A">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第三十条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国家发挥旅游业在促进各民族交往交流交融方面的积极作用，推进文化和旅游深度融合发展，开发有利于弘扬中华文化的旅游线路和文化创意产品。</w:t>
      </w:r>
    </w:p>
    <w:p w14:paraId="6CA2AE4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县级以上人民政府民族工作部门应当会同文化和旅游、文物等部门，依托中华民族共同体理论和史料，规范展陈展示、讲解等内容。</w:t>
      </w:r>
    </w:p>
    <w:p w14:paraId="63787CDC">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第三十一条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支持利用互联网、大数据、人工智能等现代技术手段开展交流活动，鼓励和引导网络产品、服务的提供者制作、传播体现中华民族大团结的作品和信息，营造有利于铸牢中华民族共同体意识的和谐网络环境。任何组织和个人不得以文字、图片和音视频等方式，制作和传播含有民族仇恨、民族歧视等破坏民族团结进步内容的信息。</w:t>
      </w:r>
    </w:p>
    <w:p w14:paraId="64842DA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网络运营者应当加强对其用户发布的信息的管理，发现含有前款规定的破坏民族团结进步内容的信息的，应当依法立即停止传输该信息，采取消除等处置措施，防止信息扩散，保存有关记录，并向有关主管部门报告。</w:t>
      </w:r>
    </w:p>
    <w:p w14:paraId="7E562CBF">
      <w:pPr>
        <w:rPr>
          <w:rFonts w:hint="default" w:ascii="Times New Roman" w:hAnsi="Times New Roman" w:eastAsia="黑体" w:cs="Times New Roman"/>
          <w:color w:val="000000"/>
          <w:sz w:val="32"/>
          <w:lang w:val="en-US" w:eastAsia="zh-CN"/>
        </w:rPr>
      </w:pPr>
      <w:bookmarkStart w:id="254" w:name="_Toc29729"/>
      <w:r>
        <w:rPr>
          <w:rFonts w:hint="default" w:ascii="Times New Roman" w:hAnsi="Times New Roman" w:eastAsia="黑体" w:cs="Times New Roman"/>
          <w:color w:val="000000"/>
          <w:sz w:val="32"/>
          <w:lang w:val="en-US" w:eastAsia="zh-CN"/>
        </w:rPr>
        <w:t>第四章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推动共同繁荣发展</w:t>
      </w:r>
      <w:bookmarkEnd w:id="254"/>
    </w:p>
    <w:p w14:paraId="2EB562C8">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第三十二条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国家贯彻新发展理念，支持民族地区全面深化改革开放、全面融入国家发展战略、提升自我发展能力，加快民族地区高质量发展，推进各民族共同富裕，推动各民族共同迈向社会主义现代化。</w:t>
      </w:r>
    </w:p>
    <w:p w14:paraId="36004138">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第三十三条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县级以上人民政府及其有关部门制定和实施经济社会发展领域的规划计划、政策措施，应当有利于铸牢中华民族共同体意识、推进中华民族共同体建设，有利于维护国家统一、反对分裂，有利于改善民生、凝聚人心。</w:t>
      </w:r>
    </w:p>
    <w:p w14:paraId="36767AE9">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第三十四条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国家促进区域协调发展，完善区域一体化发展机制和差别化区域支持政策，健全对口支援、东西部协作等帮扶协作机制。</w:t>
      </w:r>
    </w:p>
    <w:p w14:paraId="1C7F7402">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国家支持民族地区结合区域主体功能定位，统筹发展和安全，在维护国家边疆安全、资源能源安全、粮食安全和生态安全等方面担起使命责任、充分发挥作用。</w:t>
      </w:r>
    </w:p>
    <w:p w14:paraId="23BDD2C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国家支持民族地区发挥自身优势，服务构建以国内大循环为主体、国内国际双循环相互促进的新发展格局，深度融入高质量共建“一带一路”。</w:t>
      </w:r>
    </w:p>
    <w:p w14:paraId="38C9A39F">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第三十五条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国务院有关部门和县级以上地方人民政府应当加强交通、能源、水利、信息、物流等基础设施建设，推进民族地区与其他地区之间的互联互通。</w:t>
      </w:r>
    </w:p>
    <w:p w14:paraId="4340DA4E">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第三十六条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国家建设现代化产业体系，因地制宜发展新质生产力，有序推进区域间的产业合作和利益共享机制建设，支持民族地区在优化区域产业链和供应链布局、推进全国统一大市场建设中充分发挥作用。</w:t>
      </w:r>
    </w:p>
    <w:p w14:paraId="1A6AE15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务院有关部门和县级以上地方人民政府应当支持民族地区立足资源禀赋并利用现代科学技术，发展农林牧渔业、农副食品加工业、纺织业、文化旅游业，以及传统工艺、传统医药等特色优势产业，发展壮大新型农村集体经济，推进乡村全面振兴和城乡融合发展。</w:t>
      </w:r>
    </w:p>
    <w:p w14:paraId="61AB3ACD">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第三十七条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国务院有关部门和县级以上地方人民政府应当推动就业、教育、医疗等方面公共服务资源的合理配置，增强基本公共服务均衡性和可及性，促进民族地区各级各类教育协调发展，提高民族地区公共服务保障能力。</w:t>
      </w:r>
    </w:p>
    <w:p w14:paraId="2E0B27DA">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第三十八条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国务院有关部门和县级以上地方人民政府应当统筹优化农业、生态、城镇等各类空间布局，加强民族地区的生态环境保护和自然资源的可持续利用，引导各族群众共同维护中华民族永续发展的生态空间。</w:t>
      </w:r>
    </w:p>
    <w:p w14:paraId="77AF2607">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第三十九条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国务院有关部门和边境地区县级以上地方人民政府应当统筹推进兴边富民、稳边固边，鼓励支援边境地区建设，推进基础设施和公共服务设施建设，改善边境村落人居环境和生产生活条件。</w:t>
      </w:r>
    </w:p>
    <w:p w14:paraId="2C13D586">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务院有关部门和边境地区县级以上地方人民政府应当加强沿边城镇体系建设，健全开发开放政策，推进开发开放平台和产业平台设施建设，增强产业支撑能力，支持边境贸易，发展边境旅游，鼓励跨境经济合作。</w:t>
      </w:r>
    </w:p>
    <w:p w14:paraId="2BC3EB1B">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第四十条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加强时代新风新貌的培育，推进公民道德建设，开展群众性法治宣传教育和科学技术普及，推动移风易俗，倡导文明进步的新风尚，引导各族群众在生活交往、婚丧嫁娶等活动中自觉遵守法律法规、遵循公序良俗。</w:t>
      </w:r>
    </w:p>
    <w:p w14:paraId="737CBE6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国家保护公民婚姻自由。任何组织和个人不得以民族身份、风俗习惯、宗教信仰等为由干涉婚姻自由。</w:t>
      </w:r>
    </w:p>
    <w:p w14:paraId="0FE5ACF3">
      <w:pPr>
        <w:rPr>
          <w:rFonts w:hint="default" w:ascii="Times New Roman" w:hAnsi="Times New Roman" w:eastAsia="黑体" w:cs="Times New Roman"/>
          <w:color w:val="000000"/>
          <w:sz w:val="32"/>
          <w:lang w:val="en-US" w:eastAsia="zh-CN"/>
        </w:rPr>
      </w:pPr>
      <w:bookmarkStart w:id="255" w:name="_Toc3975"/>
      <w:r>
        <w:rPr>
          <w:rFonts w:hint="default" w:ascii="Times New Roman" w:hAnsi="Times New Roman" w:eastAsia="黑体" w:cs="Times New Roman"/>
          <w:color w:val="000000"/>
          <w:sz w:val="32"/>
          <w:lang w:val="en-US" w:eastAsia="zh-CN"/>
        </w:rPr>
        <w:t>第五章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保障与监督</w:t>
      </w:r>
      <w:bookmarkEnd w:id="255"/>
    </w:p>
    <w:p w14:paraId="38A20FBA">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第四十一条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坚持和完善党委统一领导、政府依法管理、统一战线工作部门牵头协调、民族工作部门履职尽责、各部门通力合作、全社会共同参与的民族工作格局，健全民族工作协调机制。</w:t>
      </w:r>
    </w:p>
    <w:p w14:paraId="47424E8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中央统一战线工作部门、国务院民族工作部门负责全国铸牢中华民族共同体意识、促进民族团结进步等工作的统筹协调和督促落实。地方各级统一战线工作部门、民族工作部门负责本地区铸牢中华民族共同体意识、促进民族团结进步等工作的协调推动、组织实施和督促落实。</w:t>
      </w:r>
    </w:p>
    <w:p w14:paraId="30D166EF">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第四十二条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中央和国家机关各部门、地方各机关各部门在各自职责范围内开展铸牢中华民族共同体意识、促进民族团结进步工作。各机关对在本单位内发生的破坏民族团结进步的行为应当及时予以制止。</w:t>
      </w:r>
    </w:p>
    <w:p w14:paraId="4F99A4E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公职人员在履行职责和日常生活中，应当发挥铸牢中华民族共同体意识、促进民族团结进步的模范带头作用。</w:t>
      </w:r>
    </w:p>
    <w:p w14:paraId="59B6C1C1">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第四十三条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各级人民代表大会和县级以上人民代表大会常务委员会依照法定职权，在各项工作中落实铸牢中华民族共同体意识、推进中华民族共同体建设的要求。</w:t>
      </w:r>
    </w:p>
    <w:p w14:paraId="14417DFE">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第四十四条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工会、共产主义青年团、妇女联合会、工商业联合会、文学艺术界联合会、作家协会、科学技术协会、归国华侨联合会、台湾同胞联谊会、残疾人联合会和其他群团组织，应当发挥各自优势，面向所联系的领域开展铸牢中华民族共同体意识工作，团结所联系的群体为中华民族共同体建设贡献力量。</w:t>
      </w:r>
    </w:p>
    <w:p w14:paraId="0F58F57B">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第四十五条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企业事业组织应当遵守社会公德，履行社会责任，将铸牢中华民族共同体意识的要求融入业务培训、文化建设等活动中，促进民族团结进步。</w:t>
      </w:r>
    </w:p>
    <w:p w14:paraId="3A5E7E7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行业协会、商会、学会和基金会等社会组织，应当将铸牢中华民族共同体意识的要求，体现在行业自律规范、职业道德准则或者组织章程中，结合业务工作促进民族团结进步。</w:t>
      </w:r>
    </w:p>
    <w:p w14:paraId="24454263">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第四十六条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宗教团体、宗教院校和宗教活动场所，应当开展铸牢中华民族共同体意识宣传教育，坚持我国宗教中国化方向，引导宗教与社会主义社会相适应，引导宗教教职人员、信教群众弘扬爱国主义传统，促进民族和睦、宗教和顺、社会和谐。</w:t>
      </w:r>
    </w:p>
    <w:p w14:paraId="70694361">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第四十七条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基层人民政府应当对居民委员会、村民委员会开展铸牢中华民族共同体意识工作给予指导、支持和帮助。</w:t>
      </w:r>
    </w:p>
    <w:p w14:paraId="03DE7EC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居民委员会、村民委员会应当推动在居民公约、村规民约中体现铸牢中华民族共同体意识的要求，支持和引导各族群众增进团结、互相尊重、互相帮助，促进共同进步。</w:t>
      </w:r>
    </w:p>
    <w:p w14:paraId="1B51B15E">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第四十八条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军队依照本法和有关法律规定，结合国防活动开展铸牢中华民族共同体意识宣传教育，充分利用自身资源保障中华民族共同体建设，巩固和发展军政军民团结，维护国家统一和安全。</w:t>
      </w:r>
    </w:p>
    <w:p w14:paraId="2E55F243">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第四十九条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国家将铸牢中华民族共同体意识的要求贯穿干部的培养、选拔、使用和管理全过程，加强民族地区干部队伍建设，重视培养和使用少数民族干部。</w:t>
      </w:r>
    </w:p>
    <w:p w14:paraId="35924067">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国家支持民族地区专业技术人才和高技能人才的培养，推动民族地区之间、民族地区与其他地区之间的干部和人才交流，引导干部和人才向民族地区基层流动。</w:t>
      </w:r>
    </w:p>
    <w:p w14:paraId="108256EC">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第五十条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县级以上人民政府应当将铸牢中华民族共同体意识、促进民族团结进步工作纳入国民经济和社会发展规划及年度计划，将相关工作经费列入预算。</w:t>
      </w:r>
    </w:p>
    <w:p w14:paraId="1BD3302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县级以上人民政府财政部门依法开展资金使用等情况的指导和监督。</w:t>
      </w:r>
    </w:p>
    <w:p w14:paraId="2C2629F0">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第五十一条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国家将民族事务纳入共建共治共享的社会治理机制，加强组织协调和基层治理力量，强化科技支撑，提升社会治理效能。</w:t>
      </w:r>
    </w:p>
    <w:p w14:paraId="4D17EF94">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第五十二条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务院有关部门和地方各级人民政府应当贯彻总体国家安全观，健全民族领域重大事项请示报告制度，加强对民族领域重大风险隐患的排查、识别、评估、预警和处置，提升防范化解风险的能力，维护国家安全和社会稳定。</w:t>
      </w:r>
    </w:p>
    <w:p w14:paraId="3D4320A5">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第五十三条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地方各级人民政府和有关机关应当加强矛盾纠纷预防和化解能力建设，发挥多元化纠纷解决机制的作用，准确认定纠纷的性质，依法处理和化解纠纷，维护民族团结。任何组织和个人不得以民族身份、风俗习惯、宗教信仰等为由，故意引发或者激化矛盾，扰乱公共秩序。</w:t>
      </w:r>
    </w:p>
    <w:p w14:paraId="74E9B31C">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第五十四条</w:t>
      </w:r>
      <w:r>
        <w:rPr>
          <w:rFonts w:hint="eastAsia" w:ascii="楷体_GB2312" w:hAnsi="楷体_GB2312" w:eastAsia="楷体_GB2312" w:cs="楷体_GB2312"/>
          <w:b/>
          <w:bCs/>
          <w:lang w:val="en-US" w:eastAsia="zh-CN"/>
        </w:rPr>
        <w:t xml:space="preserve"> </w:t>
      </w:r>
      <w:r>
        <w:rPr>
          <w:rFonts w:hint="default" w:ascii="Times New Roman" w:hAnsi="Times New Roman" w:eastAsia="仿宋_GB2312" w:cs="Times New Roman"/>
          <w:sz w:val="32"/>
          <w:lang w:val="en-US" w:eastAsia="zh-CN"/>
        </w:rPr>
        <w:t>公民对破坏民族团结进步的行为有权进行投诉和举报，对国家机关及其工作人员不履行或者不正确履行铸牢中华民族共同体意识、促进民族团结进步法定职责的行为有权进行检举。</w:t>
      </w:r>
    </w:p>
    <w:p w14:paraId="6A8152B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违反本法规定，破坏民族团结进步，损害国家利益或者社会公共利益的，人民检察院可以依法提起公益诉讼。</w:t>
      </w:r>
    </w:p>
    <w:p w14:paraId="69EF1E7A">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第五十五条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开展民族团结进步示范创建工作，应当突出铸牢中华民族共同体意识的要求。</w:t>
      </w:r>
    </w:p>
    <w:p w14:paraId="7811DEF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对在民族团结进步事业中做出突出贡献的集体和个人，按照国家有关规定给予表彰、奖励。</w:t>
      </w:r>
    </w:p>
    <w:p w14:paraId="6F7ABDEA">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第五十六条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每年9月的第四周为民族团结进步宣传周，国家通过多种形式集中开展铸牢中华民族共同体意识宣传教育活动。</w:t>
      </w:r>
    </w:p>
    <w:p w14:paraId="58CEB9B9">
      <w:pPr>
        <w:rPr>
          <w:rFonts w:hint="default" w:ascii="Times New Roman" w:hAnsi="Times New Roman" w:eastAsia="黑体" w:cs="Times New Roman"/>
          <w:color w:val="000000"/>
          <w:sz w:val="32"/>
          <w:lang w:val="en-US" w:eastAsia="zh-CN"/>
        </w:rPr>
      </w:pPr>
      <w:bookmarkStart w:id="256" w:name="_Toc16673"/>
      <w:r>
        <w:rPr>
          <w:rFonts w:hint="default" w:ascii="Times New Roman" w:hAnsi="Times New Roman" w:eastAsia="黑体" w:cs="Times New Roman"/>
          <w:color w:val="000000"/>
          <w:sz w:val="32"/>
          <w:lang w:val="en-US" w:eastAsia="zh-CN"/>
        </w:rPr>
        <w:t>第六章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法律责任</w:t>
      </w:r>
      <w:bookmarkEnd w:id="256"/>
    </w:p>
    <w:p w14:paraId="534EEB90">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第五十七条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国家机关及其工作人员不履行或者不正确履行本法规定职责的，或者对本法第五十八条、第五十九条、第六十条、第六十一条规定的违法行为未及时予以制止并依法予以处理的，由其主管部门或者有关机关责令改正；造成不良后果或者影响的，对负有责任的领导人员和直接责任人员依法给予处分；构成犯罪的，依法追究刑事责任。</w:t>
      </w:r>
    </w:p>
    <w:p w14:paraId="1CC5EA3F">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第五十八条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任何组织和个人违反本法有关规定，破坏民族团结进步的，由县级以上人民政府有关部门按照职责及时予以制止、责令改正，并依法给予处罚。构成违反治安管理行为的，由公安机关依法给予治安管理处罚；构成犯罪的，依法追究刑事责任。</w:t>
      </w:r>
    </w:p>
    <w:p w14:paraId="12382896">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第五十九条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任何组织和个人以民族身份为由实施就业歧视、拒绝提供商品或者服务，或者实施法律法规禁止的其他歧视行为的，由县级以上民族工作、人力资源和社会保障、市场监管等有关部门按照职责责令改正；造成不良后果或者影响的，予以警告或者通报批评。法律法规另有处罚规定的，从其规定。</w:t>
      </w:r>
    </w:p>
    <w:p w14:paraId="510D9FA0">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第六十条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社会团体、企业事业组织和其他社会组织对在本单位内发生的破坏民族团结进步的行为，应当及时予以制止；未及时制止，造成不良后果或者影响的，由上级机关或者有关主管部门予以警告或者通报批评，并对直接负责的主管人员和其他直接责任人员依法追究法律责任。</w:t>
      </w:r>
    </w:p>
    <w:p w14:paraId="2889AE83">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第六十一条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网络运营者违反本法规定，未履行管理责任的，由网信、电信、公安、国家安全、新闻出版、广播电视等有关主管部门按照职责责令改正；拒不改正或者情节严重的，依法给予处罚。</w:t>
      </w:r>
    </w:p>
    <w:p w14:paraId="37F9A6C7">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第六十二条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组织、策划、实施暴力恐怖活动、民族分裂活动或者宗教极端活动，构成犯罪的，依法追究刑事责任。</w:t>
      </w:r>
    </w:p>
    <w:p w14:paraId="09538F43">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煽动或者资助实施前款行为，构成犯罪的，依法追究刑事责任。</w:t>
      </w:r>
    </w:p>
    <w:p w14:paraId="24928B49">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第六十三条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中华人民共和国境外的组织和个人，针对中华人民共和国实施破坏民族团结进步、制造民族分裂行为的，依法追究法律责任。</w:t>
      </w:r>
    </w:p>
    <w:p w14:paraId="3635DDA5">
      <w:pPr>
        <w:rPr>
          <w:rFonts w:hint="default" w:ascii="Times New Roman" w:hAnsi="Times New Roman" w:eastAsia="黑体" w:cs="Times New Roman"/>
          <w:color w:val="000000"/>
          <w:sz w:val="32"/>
          <w:lang w:val="en-US" w:eastAsia="zh-CN"/>
        </w:rPr>
      </w:pPr>
      <w:bookmarkStart w:id="257" w:name="_Toc24305"/>
      <w:r>
        <w:rPr>
          <w:rFonts w:hint="default" w:ascii="Times New Roman" w:hAnsi="Times New Roman" w:eastAsia="黑体" w:cs="Times New Roman"/>
          <w:color w:val="000000"/>
          <w:sz w:val="32"/>
          <w:lang w:val="en-US" w:eastAsia="zh-CN"/>
        </w:rPr>
        <w:t>第七章</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附</w:t>
      </w:r>
      <w:r>
        <w:rPr>
          <w:rFonts w:hint="eastAsia" w:eastAsia="黑体" w:cs="Times New Roman"/>
          <w:color w:val="000000"/>
          <w:sz w:val="32"/>
          <w:lang w:val="en-US" w:eastAsia="zh-CN"/>
        </w:rPr>
        <w:t xml:space="preserve"> </w:t>
      </w:r>
      <w:r>
        <w:rPr>
          <w:rFonts w:hint="default" w:ascii="Times New Roman" w:hAnsi="Times New Roman" w:eastAsia="黑体" w:cs="Times New Roman"/>
          <w:color w:val="000000"/>
          <w:sz w:val="32"/>
          <w:lang w:val="en-US" w:eastAsia="zh-CN"/>
        </w:rPr>
        <w:t>则</w:t>
      </w:r>
      <w:bookmarkEnd w:id="257"/>
    </w:p>
    <w:p w14:paraId="013A45B3">
      <w:pPr>
        <w:rPr>
          <w:rFonts w:hint="default" w:ascii="Times New Roman" w:hAnsi="Times New Roman" w:eastAsia="仿宋_GB2312" w:cs="Times New Roman"/>
          <w:sz w:val="32"/>
          <w:lang w:val="en-US" w:eastAsia="zh-CN"/>
        </w:rPr>
      </w:pPr>
      <w:r>
        <w:rPr>
          <w:rFonts w:hint="eastAsia" w:ascii="楷体_GB2312" w:hAnsi="楷体_GB2312" w:eastAsia="楷体_GB2312" w:cs="楷体_GB2312"/>
          <w:b/>
          <w:bCs/>
          <w:lang w:val="en-US" w:eastAsia="zh-CN"/>
        </w:rPr>
        <w:t>第六十四条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省、自治区、直辖市和设区的市、自治州人民代表大会及其常务委员会，可以结合当地实际情况，制定促进民族团结进步的地方性法规。</w:t>
      </w:r>
    </w:p>
    <w:p w14:paraId="61693908">
      <w:pPr>
        <w:rPr>
          <w:rFonts w:hint="default" w:ascii="Times New Roman" w:hAnsi="Times New Roman" w:eastAsia="仿宋_GB2312" w:cs="Times New Roman"/>
          <w:sz w:val="32"/>
          <w:lang w:val="en-US" w:eastAsia="zh-CN"/>
        </w:rPr>
      </w:pPr>
      <w:r>
        <w:rPr>
          <w:rFonts w:hint="default" w:ascii="楷体_GB2312" w:hAnsi="楷体_GB2312" w:eastAsia="楷体_GB2312" w:cs="楷体_GB2312"/>
          <w:b/>
          <w:bCs/>
          <w:lang w:val="en-US" w:eastAsia="zh-CN"/>
        </w:rPr>
        <w:t>第六十五条</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本法自2026年7月1日起施行。</w:t>
      </w:r>
    </w:p>
    <w:p w14:paraId="0E54F3A8">
      <w:pPr>
        <w:rPr>
          <w:rFonts w:hint="default" w:ascii="Times New Roman" w:hAnsi="Times New Roman" w:eastAsia="仿宋_GB2312" w:cs="Times New Roman"/>
          <w:sz w:val="32"/>
          <w:lang w:val="en-US" w:eastAsia="zh-CN"/>
        </w:rPr>
      </w:pPr>
    </w:p>
    <w:p w14:paraId="23E08B19">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来源：《人民日报》（2026年03月14日第04版）</w:t>
      </w:r>
    </w:p>
    <w:p w14:paraId="6B5661D2">
      <w:pPr>
        <w:ind w:left="0" w:leftChars="0" w:firstLine="0" w:firstLineChars="0"/>
        <w:rPr>
          <w:rFonts w:hint="default" w:ascii="Times New Roman" w:hAnsi="Times New Roman" w:eastAsia="仿宋_GB2312" w:cs="Times New Roman"/>
          <w:sz w:val="32"/>
          <w:lang w:val="en-US" w:eastAsia="zh-CN"/>
        </w:rPr>
      </w:pPr>
    </w:p>
    <w:p w14:paraId="0FFC6C95">
      <w:pPr>
        <w:ind w:left="0" w:leftChars="0" w:firstLine="640" w:firstLineChars="200"/>
        <w:outlineLvl w:val="0"/>
        <w:rPr>
          <w:rFonts w:hint="eastAsia" w:ascii="黑体" w:hAnsi="黑体" w:eastAsia="黑体" w:cs="黑体"/>
          <w:lang w:val="en-US" w:eastAsia="zh-CN"/>
        </w:rPr>
      </w:pPr>
      <w:bookmarkStart w:id="258" w:name="_Toc19994"/>
      <w:r>
        <w:rPr>
          <w:rFonts w:hint="eastAsia" w:ascii="黑体" w:hAnsi="黑体" w:eastAsia="黑体" w:cs="黑体"/>
          <w:lang w:val="en-US" w:eastAsia="zh-CN"/>
        </w:rPr>
        <w:br w:type="page"/>
      </w:r>
      <w:r>
        <w:rPr>
          <w:rFonts w:hint="eastAsia" w:ascii="黑体" w:hAnsi="黑体" w:eastAsia="黑体" w:cs="黑体"/>
          <w:lang w:val="en-US" w:eastAsia="zh-CN"/>
        </w:rPr>
        <w:t>二、重要文章、报道</w:t>
      </w:r>
      <w:bookmarkEnd w:id="258"/>
    </w:p>
    <w:p w14:paraId="67EDEA1C">
      <w:pP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1.《求是》杂志发表习近平总书记重要文章 推动海洋经济高质量发展 </w:t>
      </w:r>
    </w:p>
    <w:p w14:paraId="1B90E7AE">
      <w:pPr>
        <w:ind w:left="0" w:leftChars="0" w:firstLine="0" w:firstLineChars="0"/>
        <w:rPr>
          <w:rFonts w:hint="default" w:ascii="Times New Roman" w:hAnsi="Times New Roman" w:eastAsia="仿宋_GB2312" w:cs="Times New Roman"/>
          <w:sz w:val="32"/>
          <w:lang w:val="en-US" w:eastAsia="zh-CN"/>
        </w:rPr>
      </w:pPr>
    </w:p>
    <w:p w14:paraId="505A6096">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《求是》杂志发表习近平总书记重要文章</w:t>
      </w:r>
    </w:p>
    <w:p w14:paraId="0FE4ECC7">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推动海洋经济高质量发展</w:t>
      </w:r>
    </w:p>
    <w:p w14:paraId="39AA972C">
      <w:pPr>
        <w:ind w:left="0" w:leftChars="0" w:firstLine="0" w:firstLineChars="0"/>
        <w:rPr>
          <w:rFonts w:hint="default" w:ascii="Times New Roman" w:hAnsi="Times New Roman" w:eastAsia="仿宋_GB2312" w:cs="Times New Roman"/>
          <w:sz w:val="32"/>
          <w:lang w:val="en-US" w:eastAsia="zh-CN"/>
        </w:rPr>
      </w:pPr>
    </w:p>
    <w:p w14:paraId="566F26FF">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新华社北京3月15日电</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3月16日出版的第6期《求是》杂志将发表中共中央总书记、国家主席、中央军委主席习近平的重要文章《推动海洋经济高质量发展》。</w:t>
      </w:r>
    </w:p>
    <w:p w14:paraId="4E30714A">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文章强调，我国经略海洋、开发海洋历史悠久。新中国成立后，我们有序开发利用海洋。改革开放后，我国海洋经济进入加快发展期。推进中国式现代化，必须高效开发利用海洋，推动海洋经济高质量发展，走出一条具有中国特色的向海图强之路。</w:t>
      </w:r>
    </w:p>
    <w:p w14:paraId="79485934">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文章指出，大的思路上，要更加注重创新驱动，尽快突破关键核心技术，推动海洋科技实现高水平自立自强；更加注重高效协同，坚持陆海统筹、山海联动，增强协同发展合力；更加注重产业更新，推动海洋传统产业转型升级，大力发展海洋新兴产业，积极培育海洋未来产业，建设现代海洋产业体系；更加注重人海和谐，统筹海洋资源开发和保护，建设可持续的海洋生态环境，形成人海良性互动的新格局；更加注重合作共赢，主动参与全球海洋治理，共同和平利用海洋能源资源，坚决维护我国领土主权和海洋权益。</w:t>
      </w:r>
    </w:p>
    <w:p w14:paraId="5E04971E">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文章指出，具体工作上，要重点抓好6个方面。第一，加强顶层设计和政策支持。编制“十五五”海洋经济发展规划，加大产业、科技、财税、金融等方面政策支持力度，鼓励引导社会资本积极参与发展海洋经济。第二，提高海洋科技自主创新能力。强化海洋战略科技力量，培育发展海洋科技领军企业和专精特新中小企业。第三，做强做优做大海洋产业。推动海上风电规范有序建设，发展现代化远洋捕捞，积极发展海洋生物医药、生物制品，打造海洋特色文化和旅游目的地，推进船舶和海洋工程装备产业高质量发展行动，加强“数字海洋”建设，推动海运业高质量发展。第四，加强主要海湾整体规划。有序推进沿海港口群优化整合，支持重点港口绿色化、数智化转型。第五，加强海洋生态环境保护。加强海洋环境风险源头防范，接续实施重点海域综合治理，积极推进海域分层立体利用，探索开展海洋碳汇核算。第六，深度参与全球海洋治理。加强全球海洋科研调查、防灾减灾、蓝色经济合作，推进“一带一路”国际港口联盟建设。</w:t>
      </w:r>
    </w:p>
    <w:p w14:paraId="2420FD51">
      <w:pPr>
        <w:rPr>
          <w:rFonts w:hint="default" w:ascii="Times New Roman" w:hAnsi="Times New Roman" w:eastAsia="仿宋_GB2312" w:cs="Times New Roman"/>
          <w:sz w:val="32"/>
          <w:lang w:val="en-US" w:eastAsia="zh-CN"/>
        </w:rPr>
      </w:pPr>
    </w:p>
    <w:p w14:paraId="67B7FA7D">
      <w:pPr>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来源：《人民日报》（2026年03月16日第01版）</w:t>
      </w:r>
    </w:p>
    <w:sectPr>
      <w:footerReference r:id="rId6" w:type="default"/>
      <w:pgSz w:w="11906" w:h="16838"/>
      <w:pgMar w:top="2098" w:right="1474" w:bottom="1984" w:left="1587" w:header="851" w:footer="992" w:gutter="0"/>
      <w:pgNumType w:fmt="decimal" w:start="1"/>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321E">
    <w:pPr>
      <w:pStyle w:val="6"/>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1E8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65136D">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3165136D">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D3D2C"/>
    <w:rsid w:val="06F35EB8"/>
    <w:rsid w:val="07A935B6"/>
    <w:rsid w:val="084B15B3"/>
    <w:rsid w:val="08770FFC"/>
    <w:rsid w:val="08B87FC2"/>
    <w:rsid w:val="09BF5FB9"/>
    <w:rsid w:val="0A5F34CD"/>
    <w:rsid w:val="0C070FA4"/>
    <w:rsid w:val="180A2E6A"/>
    <w:rsid w:val="1B4560C7"/>
    <w:rsid w:val="1E113730"/>
    <w:rsid w:val="1FB11416"/>
    <w:rsid w:val="2B7C00E6"/>
    <w:rsid w:val="2BAD07CB"/>
    <w:rsid w:val="2E347F86"/>
    <w:rsid w:val="36482D4C"/>
    <w:rsid w:val="3CC571DC"/>
    <w:rsid w:val="41871C8F"/>
    <w:rsid w:val="42520DAF"/>
    <w:rsid w:val="4A221705"/>
    <w:rsid w:val="4E0A7C00"/>
    <w:rsid w:val="516528E4"/>
    <w:rsid w:val="55DA21FE"/>
    <w:rsid w:val="59E63BC7"/>
    <w:rsid w:val="5BD112B1"/>
    <w:rsid w:val="5E713D2E"/>
    <w:rsid w:val="5E9860A7"/>
    <w:rsid w:val="5F332C02"/>
    <w:rsid w:val="5FC76B91"/>
    <w:rsid w:val="60A635BC"/>
    <w:rsid w:val="634A7AE7"/>
    <w:rsid w:val="66CF5BC2"/>
    <w:rsid w:val="67915D89"/>
    <w:rsid w:val="69C94928"/>
    <w:rsid w:val="6AED3D2C"/>
    <w:rsid w:val="75276AF2"/>
    <w:rsid w:val="79121A2E"/>
    <w:rsid w:val="79BF4521"/>
    <w:rsid w:val="7CC511C4"/>
    <w:rsid w:val="7EC55C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仿宋" w:cs="Times New Roman"/>
      <w:kern w:val="2"/>
      <w:sz w:val="32"/>
      <w:szCs w:val="32"/>
      <w:lang w:val="en-US" w:eastAsia="zh-CN" w:bidi="ar-SA"/>
    </w:rPr>
  </w:style>
  <w:style w:type="paragraph" w:styleId="2">
    <w:name w:val="heading 1"/>
    <w:basedOn w:val="1"/>
    <w:qFormat/>
    <w:uiPriority w:val="0"/>
    <w:pPr>
      <w:spacing w:line="600" w:lineRule="exact"/>
      <w:ind w:left="0" w:firstLine="800" w:firstLineChars="200"/>
      <w:outlineLvl w:val="0"/>
    </w:pPr>
    <w:rPr>
      <w:rFonts w:ascii="Times New Roman" w:hAnsi="Times New Roman" w:eastAsia="黑体" w:cs="Times New Roman"/>
      <w:color w:val="000000"/>
      <w:sz w:val="32"/>
      <w:szCs w:val="32"/>
      <w:lang w:eastAsia="en-US"/>
    </w:rPr>
  </w:style>
  <w:style w:type="paragraph" w:styleId="3">
    <w:name w:val="heading 2"/>
    <w:basedOn w:val="1"/>
    <w:next w:val="1"/>
    <w:link w:val="14"/>
    <w:unhideWhenUsed/>
    <w:qFormat/>
    <w:uiPriority w:val="0"/>
    <w:pPr>
      <w:keepNext/>
      <w:keepLines/>
      <w:spacing w:beforeLines="0" w:beforeAutospacing="0" w:afterLines="0" w:afterAutospacing="0" w:line="240" w:lineRule="auto"/>
      <w:ind w:firstLine="0" w:firstLineChars="0"/>
      <w:jc w:val="center"/>
      <w:outlineLvl w:val="1"/>
    </w:pPr>
    <w:rPr>
      <w:rFonts w:ascii="Times New Roman" w:hAnsi="Times New Roman" w:eastAsia="黑体"/>
    </w:rPr>
  </w:style>
  <w:style w:type="paragraph" w:styleId="4">
    <w:name w:val="heading 3"/>
    <w:basedOn w:val="1"/>
    <w:next w:val="1"/>
    <w:unhideWhenUsed/>
    <w:qFormat/>
    <w:uiPriority w:val="0"/>
    <w:pPr>
      <w:keepNext/>
      <w:keepLines/>
      <w:spacing w:beforeLines="0" w:beforeAutospacing="0" w:afterLines="0" w:afterAutospacing="0" w:line="620" w:lineRule="exact"/>
      <w:ind w:firstLine="880" w:firstLineChars="200"/>
      <w:outlineLvl w:val="2"/>
    </w:pPr>
    <w:rPr>
      <w:rFonts w:ascii="Times New Roman" w:hAnsi="Times New Roman" w:eastAsia="楷体"/>
      <w:b/>
      <w:bCs/>
      <w:sz w:val="32"/>
      <w:szCs w:val="32"/>
    </w:rPr>
  </w:style>
  <w:style w:type="character" w:default="1" w:styleId="13">
    <w:name w:val="Default Paragraph Font"/>
    <w:unhideWhenUsed/>
    <w:qFormat/>
    <w:uiPriority w:val="1"/>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5">
    <w:name w:val="Body Text"/>
    <w:basedOn w:val="1"/>
    <w:link w:val="15"/>
    <w:qFormat/>
    <w:uiPriority w:val="0"/>
    <w:pPr>
      <w:spacing w:beforeLines="0" w:afterLines="0"/>
      <w:ind w:left="120"/>
    </w:pPr>
    <w:rPr>
      <w:rFonts w:hint="eastAsia" w:ascii="仿宋_GB2312" w:hAnsi="仿宋_GB2312" w:eastAsia="仿宋"/>
      <w:sz w:val="32"/>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footnote text"/>
    <w:basedOn w:val="1"/>
    <w:qFormat/>
    <w:uiPriority w:val="0"/>
    <w:pPr>
      <w:snapToGrid w:val="0"/>
      <w:spacing w:line="240" w:lineRule="auto"/>
      <w:jc w:val="left"/>
    </w:pPr>
    <w:rPr>
      <w:rFonts w:eastAsia="宋体"/>
      <w:sz w:val="21"/>
      <w:szCs w:val="21"/>
    </w:rPr>
  </w:style>
  <w:style w:type="paragraph" w:styleId="10">
    <w:name w:val="toc 2"/>
    <w:basedOn w:val="1"/>
    <w:next w:val="1"/>
    <w:qFormat/>
    <w:uiPriority w:val="0"/>
    <w:pPr>
      <w:ind w:left="420" w:leftChars="200"/>
    </w:pPr>
  </w:style>
  <w:style w:type="paragraph" w:styleId="11">
    <w:name w:val="Normal (Web)"/>
    <w:basedOn w:val="1"/>
    <w:qFormat/>
    <w:uiPriority w:val="0"/>
    <w:rPr>
      <w:sz w:val="24"/>
    </w:rPr>
  </w:style>
  <w:style w:type="character" w:customStyle="1" w:styleId="14">
    <w:name w:val="标题 2 Char"/>
    <w:link w:val="3"/>
    <w:qFormat/>
    <w:uiPriority w:val="0"/>
    <w:rPr>
      <w:rFonts w:ascii="Times New Roman" w:hAnsi="Times New Roman" w:eastAsia="黑体"/>
      <w:sz w:val="32"/>
      <w:szCs w:val="32"/>
    </w:rPr>
  </w:style>
  <w:style w:type="character" w:customStyle="1" w:styleId="15">
    <w:name w:val="正文文本 Char"/>
    <w:basedOn w:val="13"/>
    <w:link w:val="5"/>
    <w:qFormat/>
    <w:uiPriority w:val="0"/>
    <w:rPr>
      <w:rFonts w:hint="eastAsia" w:ascii="仿宋_GB2312" w:hAnsi="仿宋_GB2312" w:eastAsia="仿宋"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招投标文件1"/>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175</Pages>
  <Words>40625</Words>
  <Characters>41044</Characters>
  <Lines>0</Lines>
  <Paragraphs>0</Paragraphs>
  <TotalTime>32</TotalTime>
  <ScaleCrop>false</ScaleCrop>
  <LinksUpToDate>false</LinksUpToDate>
  <CharactersWithSpaces>41239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2026-03-23T00:51:00Z</dcterms:created>
  <dc:creator>dell</dc:creator>
  <cp:lastModifiedBy>HWY</cp:lastModifiedBy>
  <dcterms:modified xsi:type="dcterms:W3CDTF">2026-05-20T09:17:05Z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09840B8E36D240A299F87B01509DFFC8_13</vt:lpwstr>
  </property>
  <property fmtid="{D5CDD505-2E9C-101B-9397-08002B2CF9AE}" pid="4" name="KSOTemplateDocerSaveRecord">
    <vt:lpwstr>eyJoZGlkIjoiZDQ3YmI1OGRkZjIwN2YxODZkNTljZDMwYTU1ZWQ2MjAiLCJ1c2VySWQiOiIzODUyMzIxNTEifQ==</vt:lpwstr>
  </property>
</Properties>
</file>