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83BB3C">
      <w:pPr>
        <w:rPr>
          <w:rFonts w:hint="default" w:ascii="Times New Roman" w:hAnsi="Times New Roman" w:cs="Times New Roman"/>
        </w:rPr>
        <w:sectPr>
          <w:footerReference r:id="rId5" w:type="default"/>
          <w:pgSz w:w="11906" w:h="16838"/>
          <w:pgMar w:top="2098" w:right="1474" w:bottom="1984" w:left="1587" w:header="851" w:footer="992" w:gutter="0"/>
          <w:pgNumType w:fmt="decimal"/>
          <w:cols w:space="0" w:num="1"/>
          <w:rtlGutter w:val="0"/>
          <w:docGrid w:type="lines" w:linePitch="439" w:charSpace="0"/>
        </w:sectPr>
      </w:pPr>
      <w:bookmarkStart w:id="0" w:name="_GoBack"/>
      <w:r>
        <w:rPr>
          <w:rFonts w:hint="default" w:ascii="Times New Roman" w:hAnsi="Times New Roman" w:cs="Times New Roman" w:eastAsiaTheme="minorEastAsia"/>
          <w:sz w:val="21"/>
          <w:szCs w:val="24"/>
          <w:lang w:eastAsia="zh-CN"/>
        </w:rPr>
        <w:drawing>
          <wp:anchor distT="0" distB="0" distL="114300" distR="114300" simplePos="0" relativeHeight="251660288" behindDoc="1" locked="0" layoutInCell="1" allowOverlap="1">
            <wp:simplePos x="0" y="0"/>
            <wp:positionH relativeFrom="column">
              <wp:posOffset>-994410</wp:posOffset>
            </wp:positionH>
            <wp:positionV relativeFrom="page">
              <wp:posOffset>0</wp:posOffset>
            </wp:positionV>
            <wp:extent cx="7559040" cy="10692130"/>
            <wp:effectExtent l="0" t="0" r="3810" b="13970"/>
            <wp:wrapNone/>
            <wp:docPr id="1" name="图片 1" descr="H:\稻壳儿相关资料\封面-非模\09.jpg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稻壳儿相关资料\封面-非模\09.jpg09"/>
                    <pic:cNvPicPr>
                      <a:picLocks noChangeAspect="1"/>
                    </pic:cNvPicPr>
                  </pic:nvPicPr>
                  <pic:blipFill>
                    <a:blip r:embed="rId8"/>
                    <a:srcRect/>
                    <a:stretch>
                      <a:fillRect/>
                    </a:stretch>
                  </pic:blipFill>
                  <pic:spPr>
                    <a:xfrm>
                      <a:off x="0" y="0"/>
                      <a:ext cx="7559040" cy="10692130"/>
                    </a:xfrm>
                    <a:prstGeom prst="rect">
                      <a:avLst/>
                    </a:prstGeom>
                  </pic:spPr>
                </pic:pic>
              </a:graphicData>
            </a:graphic>
          </wp:anchor>
        </w:drawing>
      </w:r>
      <w:bookmarkEnd w:id="0"/>
      <w:r>
        <w:rPr>
          <w:rFonts w:hint="default" w:ascii="Times New Roman" w:hAnsi="Times New Roman" w:cs="Times New Roman" w:eastAsiaTheme="minorEastAsia"/>
          <w:sz w:val="21"/>
          <w:szCs w:val="24"/>
          <w:lang w:eastAsia="zh-CN"/>
        </w:rPr>
        <w:drawing>
          <wp:anchor distT="0" distB="0" distL="114300" distR="114300" simplePos="0" relativeHeight="251663360" behindDoc="0" locked="0" layoutInCell="1" allowOverlap="1">
            <wp:simplePos x="0" y="0"/>
            <wp:positionH relativeFrom="column">
              <wp:posOffset>-934085</wp:posOffset>
            </wp:positionH>
            <wp:positionV relativeFrom="paragraph">
              <wp:posOffset>-950595</wp:posOffset>
            </wp:positionV>
            <wp:extent cx="2952750" cy="1487805"/>
            <wp:effectExtent l="0" t="0" r="0" b="17145"/>
            <wp:wrapNone/>
            <wp:docPr id="2" name="图片 2" descr="W020211108367549960472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W020211108367549960472 (1)"/>
                    <pic:cNvPicPr>
                      <a:picLocks noChangeAspect="1"/>
                    </pic:cNvPicPr>
                  </pic:nvPicPr>
                  <pic:blipFill>
                    <a:blip r:embed="rId9"/>
                    <a:srcRect l="1700" t="4672" r="1957" b="5693"/>
                    <a:stretch>
                      <a:fillRect/>
                    </a:stretch>
                  </pic:blipFill>
                  <pic:spPr>
                    <a:xfrm>
                      <a:off x="0" y="0"/>
                      <a:ext cx="2952750" cy="1487805"/>
                    </a:xfrm>
                    <a:prstGeom prst="rect">
                      <a:avLst/>
                    </a:prstGeom>
                  </pic:spPr>
                </pic:pic>
              </a:graphicData>
            </a:graphic>
          </wp:anchor>
        </w:drawing>
      </w:r>
      <w:r>
        <w:rPr>
          <w:rFonts w:hint="default" w:ascii="Times New Roman" w:hAnsi="Times New Roman" w:eastAsia="宋体" w:cs="Times New Roman"/>
          <w:sz w:val="21"/>
          <w:szCs w:val="24"/>
        </w:rPr>
        <mc:AlternateContent>
          <mc:Choice Requires="wps">
            <w:drawing>
              <wp:anchor distT="0" distB="0" distL="114300" distR="114300" simplePos="0" relativeHeight="251662336" behindDoc="0" locked="0" layoutInCell="1" allowOverlap="1">
                <wp:simplePos x="0" y="0"/>
                <wp:positionH relativeFrom="column">
                  <wp:posOffset>689610</wp:posOffset>
                </wp:positionH>
                <wp:positionV relativeFrom="paragraph">
                  <wp:posOffset>2312035</wp:posOffset>
                </wp:positionV>
                <wp:extent cx="5364480" cy="1280160"/>
                <wp:effectExtent l="0" t="0" r="0" b="0"/>
                <wp:wrapNone/>
                <wp:docPr id="8" name="矩形 13"/>
                <wp:cNvGraphicFramePr/>
                <a:graphic xmlns:a="http://schemas.openxmlformats.org/drawingml/2006/main">
                  <a:graphicData uri="http://schemas.microsoft.com/office/word/2010/wordprocessingShape">
                    <wps:wsp>
                      <wps:cNvSpPr/>
                      <wps:spPr>
                        <a:xfrm>
                          <a:off x="0" y="0"/>
                          <a:ext cx="5364480" cy="1280160"/>
                        </a:xfrm>
                        <a:prstGeom prst="rect">
                          <a:avLst/>
                        </a:prstGeom>
                      </wps:spPr>
                      <wps:txbx>
                        <w:txbxContent>
                          <w:p w14:paraId="28E94379">
                            <w:pPr>
                              <w:pStyle w:val="11"/>
                              <w:keepNext w:val="0"/>
                              <w:keepLines w:val="0"/>
                              <w:pageBreakBefore w:val="0"/>
                              <w:widowControl w:val="0"/>
                              <w:kinsoku/>
                              <w:wordWrap/>
                              <w:overflowPunct/>
                              <w:topLinePunct w:val="0"/>
                              <w:autoSpaceDE/>
                              <w:autoSpaceDN/>
                              <w:bidi w:val="0"/>
                              <w:adjustRightInd/>
                              <w:snapToGrid/>
                              <w:spacing w:line="1120" w:lineRule="exact"/>
                              <w:ind w:left="0" w:firstLine="0" w:firstLineChars="0"/>
                              <w:jc w:val="right"/>
                              <w:textAlignment w:val="auto"/>
                              <w:rPr>
                                <w:rFonts w:hint="eastAsia" w:ascii="方正小标宋简体" w:hAnsi="方正小标宋简体" w:eastAsia="方正小标宋简体" w:cs="方正小标宋简体"/>
                                <w:b/>
                                <w:bCs/>
                                <w:color w:val="auto"/>
                                <w:sz w:val="96"/>
                                <w:szCs w:val="96"/>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extrusionH="0" w14:contourW="0" w14:prstMaterial="clear"/>
                              </w:rPr>
                            </w:pPr>
                            <w:r>
                              <w:rPr>
                                <w:rFonts w:hint="eastAsia" w:ascii="方正小标宋简体" w:hAnsi="方正小标宋简体" w:eastAsia="方正小标宋简体" w:cs="方正小标宋简体"/>
                                <w:color w:val="000000"/>
                                <w:kern w:val="2"/>
                                <w:sz w:val="72"/>
                                <w:szCs w:val="72"/>
                                <w:lang w:val="en-US" w:eastAsia="zh-CN" w:bidi="ar-SA"/>
                              </w:rPr>
                              <w:t>理论学习周报</w:t>
                            </w:r>
                          </w:p>
                        </w:txbxContent>
                      </wps:txbx>
                      <wps:bodyPr wrap="square">
                        <a:spAutoFit/>
                      </wps:bodyPr>
                    </wps:wsp>
                  </a:graphicData>
                </a:graphic>
              </wp:anchor>
            </w:drawing>
          </mc:Choice>
          <mc:Fallback>
            <w:pict>
              <v:rect id="矩形 13" o:spid="_x0000_s1026" o:spt="1" style="position:absolute;left:0pt;margin-left:54.3pt;margin-top:182.05pt;height:100.8pt;width:422.4pt;z-index:251662336;mso-width-relative:page;mso-height-relative:page;" filled="f" stroked="f" coordsize="21600,21600" o:gfxdata="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NRCX/2gAAAAsBAAAP&#10;AAAAAAAAAAEAIAAAACIAAABkcnMvZG93bnJldi54bWxQSwECFAAUAAAACACHTuJA/MXPEaQBAAA8&#10;AwAADgAAAAAAAAABACAAAAApAQAAZHJzL2Uyb0RvYy54bWxQSwUGAAAAAAYABgBZAQAAPwUAAAAA&#10;">
                <v:fill on="f" focussize="0,0"/>
                <v:stroke on="f"/>
                <v:imagedata o:title=""/>
                <o:lock v:ext="edit" aspectratio="f"/>
                <v:textbox style="mso-fit-shape-to-text:t;">
                  <w:txbxContent>
                    <w:p w14:paraId="28E94379">
                      <w:pPr>
                        <w:pStyle w:val="11"/>
                        <w:keepNext w:val="0"/>
                        <w:keepLines w:val="0"/>
                        <w:pageBreakBefore w:val="0"/>
                        <w:widowControl w:val="0"/>
                        <w:kinsoku/>
                        <w:wordWrap/>
                        <w:overflowPunct/>
                        <w:topLinePunct w:val="0"/>
                        <w:autoSpaceDE/>
                        <w:autoSpaceDN/>
                        <w:bidi w:val="0"/>
                        <w:adjustRightInd/>
                        <w:snapToGrid/>
                        <w:spacing w:line="1120" w:lineRule="exact"/>
                        <w:ind w:left="0" w:firstLine="0" w:firstLineChars="0"/>
                        <w:jc w:val="right"/>
                        <w:textAlignment w:val="auto"/>
                        <w:rPr>
                          <w:rFonts w:hint="eastAsia" w:ascii="方正小标宋简体" w:hAnsi="方正小标宋简体" w:eastAsia="方正小标宋简体" w:cs="方正小标宋简体"/>
                          <w:b/>
                          <w:bCs/>
                          <w:color w:val="auto"/>
                          <w:sz w:val="96"/>
                          <w:szCs w:val="96"/>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extrusionH="0" w14:contourW="0" w14:prstMaterial="clear"/>
                        </w:rPr>
                      </w:pPr>
                      <w:r>
                        <w:rPr>
                          <w:rFonts w:hint="eastAsia" w:ascii="方正小标宋简体" w:hAnsi="方正小标宋简体" w:eastAsia="方正小标宋简体" w:cs="方正小标宋简体"/>
                          <w:color w:val="000000"/>
                          <w:kern w:val="2"/>
                          <w:sz w:val="72"/>
                          <w:szCs w:val="72"/>
                          <w:lang w:val="en-US" w:eastAsia="zh-CN" w:bidi="ar-SA"/>
                        </w:rPr>
                        <w:t>理论学习周报</w:t>
                      </w:r>
                    </w:p>
                  </w:txbxContent>
                </v:textbox>
              </v:rect>
            </w:pict>
          </mc:Fallback>
        </mc:AlternateContent>
      </w:r>
      <w:r>
        <w:rPr>
          <w:rFonts w:hint="default" w:ascii="Times New Roman" w:hAnsi="Times New Roman" w:eastAsia="宋体" w:cs="Times New Roman"/>
          <w:sz w:val="21"/>
          <w:szCs w:val="24"/>
        </w:rPr>
        <mc:AlternateContent>
          <mc:Choice Requires="wps">
            <w:drawing>
              <wp:anchor distT="0" distB="0" distL="114300" distR="114300" simplePos="0" relativeHeight="251661312" behindDoc="0" locked="0" layoutInCell="1" allowOverlap="1">
                <wp:simplePos x="0" y="0"/>
                <wp:positionH relativeFrom="column">
                  <wp:posOffset>1296670</wp:posOffset>
                </wp:positionH>
                <wp:positionV relativeFrom="paragraph">
                  <wp:posOffset>8161020</wp:posOffset>
                </wp:positionV>
                <wp:extent cx="2392680" cy="487680"/>
                <wp:effectExtent l="0" t="0" r="0" b="0"/>
                <wp:wrapNone/>
                <wp:docPr id="20" name="矩形 19"/>
                <wp:cNvGraphicFramePr/>
                <a:graphic xmlns:a="http://schemas.openxmlformats.org/drawingml/2006/main">
                  <a:graphicData uri="http://schemas.microsoft.com/office/word/2010/wordprocessingShape">
                    <wps:wsp>
                      <wps:cNvSpPr/>
                      <wps:spPr>
                        <a:xfrm>
                          <a:off x="0" y="0"/>
                          <a:ext cx="2392680" cy="487680"/>
                        </a:xfrm>
                        <a:prstGeom prst="rect">
                          <a:avLst/>
                        </a:prstGeom>
                      </wps:spPr>
                      <wps:txbx>
                        <w:txbxContent>
                          <w:p w14:paraId="7DD94F89">
                            <w:pPr>
                              <w:pStyle w:val="11"/>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eastAsia="方正小标宋简体" w:cs="Times New Roman"/>
                                <w:color w:val="000000"/>
                                <w:kern w:val="2"/>
                                <w:sz w:val="32"/>
                                <w:szCs w:val="32"/>
                                <w:lang w:val="en-US" w:eastAsia="zh-CN" w:bidi="ar-SA"/>
                              </w:rPr>
                            </w:pPr>
                            <w:r>
                              <w:rPr>
                                <w:rFonts w:hint="default" w:ascii="Times New Roman" w:hAnsi="Times New Roman" w:eastAsia="方正小标宋简体" w:cs="Times New Roman"/>
                                <w:color w:val="000000"/>
                                <w:kern w:val="2"/>
                                <w:sz w:val="32"/>
                                <w:szCs w:val="32"/>
                                <w:lang w:val="en-US" w:eastAsia="zh-CN" w:bidi="ar-SA"/>
                              </w:rPr>
                              <w:t>广西医科大学党委宣传部</w:t>
                            </w:r>
                          </w:p>
                          <w:p w14:paraId="3C669382">
                            <w:pPr>
                              <w:pStyle w:val="11"/>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eastAsia="方正小标宋简体" w:cs="Times New Roman"/>
                                <w:color w:val="000000"/>
                                <w:kern w:val="2"/>
                                <w:sz w:val="32"/>
                                <w:szCs w:val="32"/>
                                <w:lang w:val="en-US" w:eastAsia="zh-CN" w:bidi="ar-SA"/>
                              </w:rPr>
                            </w:pPr>
                            <w:r>
                              <w:rPr>
                                <w:rFonts w:hint="default" w:ascii="Times New Roman" w:hAnsi="Times New Roman" w:eastAsia="方正小标宋简体" w:cs="Times New Roman"/>
                                <w:color w:val="000000"/>
                                <w:kern w:val="2"/>
                                <w:sz w:val="32"/>
                                <w:szCs w:val="32"/>
                                <w:lang w:val="en-US" w:eastAsia="zh-CN" w:bidi="ar-SA"/>
                              </w:rPr>
                              <w:t>2026年</w:t>
                            </w:r>
                            <w:r>
                              <w:rPr>
                                <w:rFonts w:hint="eastAsia" w:ascii="Times New Roman" w:hAnsi="Times New Roman" w:eastAsia="方正小标宋简体" w:cs="Times New Roman"/>
                                <w:color w:val="000000"/>
                                <w:kern w:val="2"/>
                                <w:sz w:val="32"/>
                                <w:szCs w:val="32"/>
                                <w:lang w:val="en-US" w:eastAsia="zh-CN" w:bidi="ar-SA"/>
                              </w:rPr>
                              <w:t>3</w:t>
                            </w:r>
                            <w:r>
                              <w:rPr>
                                <w:rFonts w:hint="default" w:ascii="Times New Roman" w:hAnsi="Times New Roman" w:eastAsia="方正小标宋简体" w:cs="Times New Roman"/>
                                <w:color w:val="000000"/>
                                <w:kern w:val="2"/>
                                <w:sz w:val="32"/>
                                <w:szCs w:val="32"/>
                                <w:lang w:val="en-US" w:eastAsia="zh-CN" w:bidi="ar-SA"/>
                              </w:rPr>
                              <w:t>月</w:t>
                            </w:r>
                            <w:r>
                              <w:rPr>
                                <w:rFonts w:hint="eastAsia" w:ascii="Times New Roman" w:hAnsi="Times New Roman" w:eastAsia="方正小标宋简体" w:cs="Times New Roman"/>
                                <w:color w:val="000000"/>
                                <w:kern w:val="2"/>
                                <w:sz w:val="32"/>
                                <w:szCs w:val="32"/>
                                <w:lang w:val="en-US" w:eastAsia="zh-CN" w:bidi="ar-SA"/>
                              </w:rPr>
                              <w:t>23</w:t>
                            </w:r>
                            <w:r>
                              <w:rPr>
                                <w:rFonts w:hint="default" w:ascii="Times New Roman" w:hAnsi="Times New Roman" w:eastAsia="方正小标宋简体" w:cs="Times New Roman"/>
                                <w:color w:val="000000"/>
                                <w:kern w:val="2"/>
                                <w:sz w:val="32"/>
                                <w:szCs w:val="32"/>
                                <w:lang w:val="en-US" w:eastAsia="zh-CN" w:bidi="ar-SA"/>
                              </w:rPr>
                              <w:t>日</w:t>
                            </w:r>
                          </w:p>
                        </w:txbxContent>
                      </wps:txbx>
                      <wps:bodyPr wrap="none">
                        <a:spAutoFit/>
                      </wps:bodyPr>
                    </wps:wsp>
                  </a:graphicData>
                </a:graphic>
              </wp:anchor>
            </w:drawing>
          </mc:Choice>
          <mc:Fallback>
            <w:pict>
              <v:rect id="矩形 19" o:spid="_x0000_s1026" o:spt="1" style="position:absolute;left:0pt;margin-left:102.1pt;margin-top:642.6pt;height:38.4pt;width:188.4pt;mso-wrap-style:none;z-index:251661312;mso-width-relative:page;mso-height-relative:page;" filled="f" stroked="f" coordsize="21600,21600" o:gfxdata="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RRsOWNkAAAANAQAADwAAAAAA&#10;AAABACAAAAAiAAAAZHJzL2Rvd25yZXYueG1sUEsBAhQAFAAAAAgAh07iQO6SE0ygAQAAOgMAAA4A&#10;AAAAAAAAAQAgAAAAKAEAAGRycy9lMm9Eb2MueG1sUEsFBgAAAAAGAAYAWQEAADoFAAAAAA==&#10;">
                <v:fill on="f" focussize="0,0"/>
                <v:stroke on="f"/>
                <v:imagedata o:title=""/>
                <o:lock v:ext="edit" aspectratio="f"/>
                <v:textbox style="mso-fit-shape-to-text:t;">
                  <w:txbxContent>
                    <w:p w14:paraId="7DD94F89">
                      <w:pPr>
                        <w:pStyle w:val="11"/>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eastAsia="方正小标宋简体" w:cs="Times New Roman"/>
                          <w:color w:val="000000"/>
                          <w:kern w:val="2"/>
                          <w:sz w:val="32"/>
                          <w:szCs w:val="32"/>
                          <w:lang w:val="en-US" w:eastAsia="zh-CN" w:bidi="ar-SA"/>
                        </w:rPr>
                      </w:pPr>
                      <w:r>
                        <w:rPr>
                          <w:rFonts w:hint="default" w:ascii="Times New Roman" w:hAnsi="Times New Roman" w:eastAsia="方正小标宋简体" w:cs="Times New Roman"/>
                          <w:color w:val="000000"/>
                          <w:kern w:val="2"/>
                          <w:sz w:val="32"/>
                          <w:szCs w:val="32"/>
                          <w:lang w:val="en-US" w:eastAsia="zh-CN" w:bidi="ar-SA"/>
                        </w:rPr>
                        <w:t>广西医科大学党委宣传部</w:t>
                      </w:r>
                    </w:p>
                    <w:p w14:paraId="3C669382">
                      <w:pPr>
                        <w:pStyle w:val="11"/>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eastAsia="方正小标宋简体" w:cs="Times New Roman"/>
                          <w:color w:val="000000"/>
                          <w:kern w:val="2"/>
                          <w:sz w:val="32"/>
                          <w:szCs w:val="32"/>
                          <w:lang w:val="en-US" w:eastAsia="zh-CN" w:bidi="ar-SA"/>
                        </w:rPr>
                      </w:pPr>
                      <w:r>
                        <w:rPr>
                          <w:rFonts w:hint="default" w:ascii="Times New Roman" w:hAnsi="Times New Roman" w:eastAsia="方正小标宋简体" w:cs="Times New Roman"/>
                          <w:color w:val="000000"/>
                          <w:kern w:val="2"/>
                          <w:sz w:val="32"/>
                          <w:szCs w:val="32"/>
                          <w:lang w:val="en-US" w:eastAsia="zh-CN" w:bidi="ar-SA"/>
                        </w:rPr>
                        <w:t>2026年</w:t>
                      </w:r>
                      <w:r>
                        <w:rPr>
                          <w:rFonts w:hint="eastAsia" w:ascii="Times New Roman" w:hAnsi="Times New Roman" w:eastAsia="方正小标宋简体" w:cs="Times New Roman"/>
                          <w:color w:val="000000"/>
                          <w:kern w:val="2"/>
                          <w:sz w:val="32"/>
                          <w:szCs w:val="32"/>
                          <w:lang w:val="en-US" w:eastAsia="zh-CN" w:bidi="ar-SA"/>
                        </w:rPr>
                        <w:t>3</w:t>
                      </w:r>
                      <w:r>
                        <w:rPr>
                          <w:rFonts w:hint="default" w:ascii="Times New Roman" w:hAnsi="Times New Roman" w:eastAsia="方正小标宋简体" w:cs="Times New Roman"/>
                          <w:color w:val="000000"/>
                          <w:kern w:val="2"/>
                          <w:sz w:val="32"/>
                          <w:szCs w:val="32"/>
                          <w:lang w:val="en-US" w:eastAsia="zh-CN" w:bidi="ar-SA"/>
                        </w:rPr>
                        <w:t>月</w:t>
                      </w:r>
                      <w:r>
                        <w:rPr>
                          <w:rFonts w:hint="eastAsia" w:ascii="Times New Roman" w:hAnsi="Times New Roman" w:eastAsia="方正小标宋简体" w:cs="Times New Roman"/>
                          <w:color w:val="000000"/>
                          <w:kern w:val="2"/>
                          <w:sz w:val="32"/>
                          <w:szCs w:val="32"/>
                          <w:lang w:val="en-US" w:eastAsia="zh-CN" w:bidi="ar-SA"/>
                        </w:rPr>
                        <w:t>23</w:t>
                      </w:r>
                      <w:r>
                        <w:rPr>
                          <w:rFonts w:hint="default" w:ascii="Times New Roman" w:hAnsi="Times New Roman" w:eastAsia="方正小标宋简体" w:cs="Times New Roman"/>
                          <w:color w:val="000000"/>
                          <w:kern w:val="2"/>
                          <w:sz w:val="32"/>
                          <w:szCs w:val="32"/>
                          <w:lang w:val="en-US" w:eastAsia="zh-CN" w:bidi="ar-SA"/>
                        </w:rPr>
                        <w:t>日</w:t>
                      </w:r>
                    </w:p>
                  </w:txbxContent>
                </v:textbox>
              </v:rect>
            </w:pict>
          </mc:Fallback>
        </mc:AlternateContent>
      </w:r>
    </w:p>
    <w:p w14:paraId="0DA34F47">
      <w:pPr>
        <w:spacing w:line="240" w:lineRule="auto"/>
        <w:ind w:firstLine="0" w:firstLineChars="0"/>
        <w:rPr>
          <w:rFonts w:hint="default" w:ascii="Times New Roman" w:hAnsi="Times New Roman" w:eastAsia="宋体" w:cs="Times New Roman"/>
          <w:sz w:val="21"/>
          <w:szCs w:val="24"/>
          <w:lang w:val="en-US" w:eastAsia="zh-CN"/>
        </w:rPr>
      </w:pPr>
    </w:p>
    <w:p w14:paraId="7983C882">
      <w:pPr>
        <w:spacing w:line="240" w:lineRule="auto"/>
        <w:ind w:firstLine="0" w:firstLineChars="0"/>
        <w:jc w:val="center"/>
        <w:rPr>
          <w:rFonts w:hint="default" w:ascii="Times New Roman" w:hAnsi="Times New Roman" w:eastAsia="仿宋_GB2312" w:cs="Times New Roman"/>
          <w:b/>
          <w:bCs/>
          <w:sz w:val="48"/>
          <w:szCs w:val="56"/>
          <w:lang w:val="en-US" w:eastAsia="zh-CN"/>
        </w:rPr>
      </w:pPr>
      <w:r>
        <w:rPr>
          <w:rFonts w:hint="default" w:ascii="Times New Roman" w:hAnsi="Times New Roman" w:eastAsia="仿宋_GB2312" w:cs="Times New Roman"/>
          <w:b/>
          <w:bCs/>
          <w:sz w:val="48"/>
          <w:szCs w:val="56"/>
          <w:lang w:val="en-US" w:eastAsia="zh-CN"/>
        </w:rPr>
        <w:t>目  录</w:t>
      </w:r>
    </w:p>
    <w:sdt>
      <w:sdtPr>
        <w:rPr>
          <w:rFonts w:hint="default" w:ascii="Times New Roman" w:hAnsi="Times New Roman" w:eastAsia="仿宋_GB2312" w:cs="Times New Roman"/>
          <w:kern w:val="2"/>
          <w:sz w:val="22"/>
          <w:szCs w:val="28"/>
          <w:lang w:val="en-US" w:eastAsia="zh-CN" w:bidi="ar-SA"/>
        </w:rPr>
        <w:id w:val="147476063"/>
        <w15:color w:val="DBDBDB"/>
        <w:docPartObj>
          <w:docPartGallery w:val="Table of Contents"/>
          <w:docPartUnique/>
        </w:docPartObj>
      </w:sdtPr>
      <w:sdtEndPr>
        <w:rPr>
          <w:rFonts w:hint="default" w:ascii="Times New Roman" w:hAnsi="Times New Roman" w:eastAsia="仿宋_GB2312" w:cs="Times New Roman"/>
          <w:i w:val="0"/>
          <w:iCs w:val="0"/>
          <w:caps w:val="0"/>
          <w:color w:val="auto"/>
          <w:spacing w:val="0"/>
          <w:kern w:val="2"/>
          <w:sz w:val="32"/>
          <w:szCs w:val="32"/>
          <w:shd w:val="clear" w:fill="FFFFFF"/>
          <w:lang w:val="en-US" w:eastAsia="zh-CN" w:bidi="ar-SA"/>
        </w:rPr>
      </w:sdtEndPr>
      <w:sdtContent>
        <w:p w14:paraId="235FA1BD">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rPr>
              <w:rFonts w:hint="default" w:ascii="Times New Roman" w:hAnsi="Times New Roman" w:eastAsia="仿宋_GB2312" w:cs="Times New Roman"/>
              <w:sz w:val="32"/>
              <w:szCs w:val="32"/>
              <w:lang w:val="en-US"/>
            </w:rPr>
          </w:pPr>
          <w:r>
            <w:rPr>
              <w:rFonts w:hint="default" w:ascii="Times New Roman" w:hAnsi="Times New Roman" w:eastAsia="仿宋_GB2312" w:cs="Times New Roman"/>
              <w:kern w:val="2"/>
              <w:sz w:val="22"/>
              <w:szCs w:val="28"/>
              <w:lang w:val="en-US" w:eastAsia="zh-CN" w:bidi="ar-SA"/>
            </w:rPr>
            <w:t xml:space="preserve"> </w:t>
          </w:r>
        </w:p>
        <w:p w14:paraId="151ED54A">
          <w:pPr>
            <w:pStyle w:val="8"/>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firstLine="1280" w:firstLineChars="400"/>
            <w:textAlignment w:val="auto"/>
            <w:rPr>
              <w:rFonts w:hint="eastAsia" w:ascii="仿宋_GB2312" w:hAnsi="仿宋_GB2312" w:eastAsia="仿宋_GB2312" w:cs="仿宋_GB2312"/>
              <w:b/>
              <w:bCs/>
              <w:sz w:val="32"/>
              <w:szCs w:val="32"/>
            </w:rPr>
          </w:pPr>
          <w:r>
            <w:rPr>
              <w:rFonts w:hint="default" w:ascii="Times New Roman" w:hAnsi="Times New Roman" w:eastAsia="仿宋_GB2312" w:cs="Times New Roman"/>
              <w:i w:val="0"/>
              <w:iCs w:val="0"/>
              <w:caps w:val="0"/>
              <w:color w:val="auto"/>
              <w:spacing w:val="0"/>
              <w:kern w:val="2"/>
              <w:sz w:val="32"/>
              <w:szCs w:val="32"/>
              <w:shd w:val="clear" w:fill="FFFFFF"/>
              <w:lang w:val="en-US" w:eastAsia="zh-CN" w:bidi="ar-SA"/>
            </w:rPr>
            <w:fldChar w:fldCharType="begin"/>
          </w:r>
          <w:r>
            <w:rPr>
              <w:rFonts w:hint="default" w:ascii="Times New Roman" w:hAnsi="Times New Roman" w:eastAsia="仿宋_GB2312" w:cs="Times New Roman"/>
              <w:i w:val="0"/>
              <w:iCs w:val="0"/>
              <w:caps w:val="0"/>
              <w:color w:val="auto"/>
              <w:spacing w:val="0"/>
              <w:kern w:val="2"/>
              <w:sz w:val="32"/>
              <w:szCs w:val="32"/>
              <w:shd w:val="clear" w:fill="FFFFFF"/>
              <w:lang w:val="en-US" w:eastAsia="zh-CN" w:bidi="ar-SA"/>
            </w:rPr>
            <w:instrText xml:space="preserve">TOC \o "1-2" \h \u </w:instrText>
          </w:r>
          <w:r>
            <w:rPr>
              <w:rFonts w:hint="default" w:ascii="Times New Roman" w:hAnsi="Times New Roman" w:eastAsia="仿宋_GB2312" w:cs="Times New Roman"/>
              <w:i w:val="0"/>
              <w:iCs w:val="0"/>
              <w:caps w:val="0"/>
              <w:color w:val="auto"/>
              <w:spacing w:val="0"/>
              <w:kern w:val="2"/>
              <w:sz w:val="32"/>
              <w:szCs w:val="32"/>
              <w:shd w:val="clear" w:fill="FFFFFF"/>
              <w:lang w:val="en-US" w:eastAsia="zh-CN" w:bidi="ar-SA"/>
            </w:rPr>
            <w:fldChar w:fldCharType="separate"/>
          </w:r>
          <w:r>
            <w:rPr>
              <w:rFonts w:hint="eastAsia" w:ascii="仿宋_GB2312" w:hAnsi="仿宋_GB2312" w:eastAsia="仿宋_GB2312" w:cs="仿宋_GB2312"/>
              <w:b/>
              <w:bCs/>
              <w:i w:val="0"/>
              <w:iCs w:val="0"/>
              <w:caps w:val="0"/>
              <w:color w:val="auto"/>
              <w:spacing w:val="0"/>
              <w:kern w:val="2"/>
              <w:sz w:val="32"/>
              <w:szCs w:val="32"/>
              <w:shd w:val="clear" w:fill="FFFFFF"/>
              <w:lang w:val="en-US" w:eastAsia="zh-CN" w:bidi="ar-SA"/>
            </w:rPr>
            <w:fldChar w:fldCharType="begin"/>
          </w:r>
          <w:r>
            <w:rPr>
              <w:rFonts w:hint="eastAsia" w:ascii="仿宋_GB2312" w:hAnsi="仿宋_GB2312" w:eastAsia="仿宋_GB2312" w:cs="仿宋_GB2312"/>
              <w:b/>
              <w:bCs/>
              <w:i w:val="0"/>
              <w:iCs w:val="0"/>
              <w:caps w:val="0"/>
              <w:spacing w:val="0"/>
              <w:kern w:val="2"/>
              <w:sz w:val="32"/>
              <w:szCs w:val="32"/>
              <w:shd w:val="clear" w:fill="FFFFFF"/>
              <w:lang w:val="en-US" w:eastAsia="zh-CN" w:bidi="ar-SA"/>
            </w:rPr>
            <w:instrText xml:space="preserve"> HYPERLINK \l _Toc25047 </w:instrText>
          </w:r>
          <w:r>
            <w:rPr>
              <w:rFonts w:hint="eastAsia" w:ascii="仿宋_GB2312" w:hAnsi="仿宋_GB2312" w:eastAsia="仿宋_GB2312" w:cs="仿宋_GB2312"/>
              <w:b/>
              <w:bCs/>
              <w:i w:val="0"/>
              <w:iCs w:val="0"/>
              <w:caps w:val="0"/>
              <w:spacing w:val="0"/>
              <w:kern w:val="2"/>
              <w:sz w:val="32"/>
              <w:szCs w:val="32"/>
              <w:shd w:val="clear" w:fill="FFFFFF"/>
              <w:lang w:val="en-US" w:eastAsia="zh-CN" w:bidi="ar-SA"/>
            </w:rPr>
            <w:fldChar w:fldCharType="separate"/>
          </w:r>
          <w:r>
            <w:rPr>
              <w:rFonts w:hint="eastAsia" w:ascii="仿宋_GB2312" w:hAnsi="仿宋_GB2312" w:eastAsia="仿宋_GB2312" w:cs="仿宋_GB2312"/>
              <w:b/>
              <w:bCs/>
              <w:sz w:val="32"/>
              <w:szCs w:val="32"/>
              <w:lang w:val="en-US" w:eastAsia="zh-CN"/>
            </w:rPr>
            <w:t>一、重要会议、讲话、文件精神</w:t>
          </w:r>
          <w:r>
            <w:rPr>
              <w:rFonts w:hint="eastAsia" w:ascii="仿宋_GB2312" w:hAnsi="仿宋_GB2312" w:eastAsia="仿宋_GB2312" w:cs="仿宋_GB2312"/>
              <w:b/>
              <w:bCs/>
              <w:i w:val="0"/>
              <w:iCs w:val="0"/>
              <w:caps w:val="0"/>
              <w:color w:val="auto"/>
              <w:spacing w:val="0"/>
              <w:kern w:val="2"/>
              <w:sz w:val="32"/>
              <w:szCs w:val="32"/>
              <w:shd w:val="clear" w:fill="FFFFFF"/>
              <w:lang w:val="en-US" w:eastAsia="zh-CN" w:bidi="ar-SA"/>
            </w:rPr>
            <w:fldChar w:fldCharType="end"/>
          </w:r>
        </w:p>
        <w:p w14:paraId="7D8B9215">
          <w:pPr>
            <w:pStyle w:val="10"/>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auto"/>
              <w:spacing w:val="0"/>
              <w:kern w:val="2"/>
              <w:sz w:val="32"/>
              <w:szCs w:val="32"/>
              <w:shd w:val="clear" w:fill="FFFFFF"/>
              <w:lang w:val="en-US" w:eastAsia="zh-CN" w:bidi="ar-SA"/>
            </w:rPr>
            <w:fldChar w:fldCharType="begin"/>
          </w:r>
          <w:r>
            <w:rPr>
              <w:rFonts w:hint="eastAsia" w:ascii="仿宋_GB2312" w:hAnsi="仿宋_GB2312" w:eastAsia="仿宋_GB2312" w:cs="仿宋_GB2312"/>
              <w:i w:val="0"/>
              <w:iCs w:val="0"/>
              <w:caps w:val="0"/>
              <w:spacing w:val="0"/>
              <w:kern w:val="2"/>
              <w:sz w:val="32"/>
              <w:szCs w:val="32"/>
              <w:shd w:val="clear" w:fill="FFFFFF"/>
              <w:lang w:val="en-US" w:eastAsia="zh-CN" w:bidi="ar-SA"/>
            </w:rPr>
            <w:instrText xml:space="preserve"> HYPERLINK \l _Toc20946 </w:instrText>
          </w:r>
          <w:r>
            <w:rPr>
              <w:rFonts w:hint="eastAsia" w:ascii="仿宋_GB2312" w:hAnsi="仿宋_GB2312" w:eastAsia="仿宋_GB2312" w:cs="仿宋_GB2312"/>
              <w:i w:val="0"/>
              <w:iCs w:val="0"/>
              <w:caps w:val="0"/>
              <w:spacing w:val="0"/>
              <w:kern w:val="2"/>
              <w:sz w:val="32"/>
              <w:szCs w:val="32"/>
              <w:shd w:val="clear" w:fill="FFFFFF"/>
              <w:lang w:val="en-US" w:eastAsia="zh-CN" w:bidi="ar-SA"/>
            </w:rPr>
            <w:fldChar w:fldCharType="separate"/>
          </w:r>
          <w:r>
            <w:rPr>
              <w:rFonts w:hint="eastAsia" w:ascii="仿宋_GB2312" w:hAnsi="仿宋_GB2312" w:eastAsia="仿宋_GB2312" w:cs="仿宋_GB2312"/>
              <w:bCs/>
              <w:sz w:val="32"/>
              <w:szCs w:val="32"/>
              <w:lang w:val="en-US" w:eastAsia="zh-CN"/>
            </w:rPr>
            <w:t>1.习近平向拉美和加勒比国家共同体第十届峰会致贺电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_Toc20946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i w:val="0"/>
              <w:iCs w:val="0"/>
              <w:caps w:val="0"/>
              <w:color w:val="auto"/>
              <w:spacing w:val="0"/>
              <w:kern w:val="2"/>
              <w:sz w:val="32"/>
              <w:szCs w:val="32"/>
              <w:shd w:val="clear" w:fill="FFFFFF"/>
              <w:lang w:val="en-US" w:eastAsia="zh-CN" w:bidi="ar-SA"/>
            </w:rPr>
            <w:fldChar w:fldCharType="end"/>
          </w:r>
        </w:p>
        <w:p w14:paraId="17BE7FF1">
          <w:pPr>
            <w:pStyle w:val="10"/>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auto"/>
              <w:spacing w:val="0"/>
              <w:kern w:val="2"/>
              <w:sz w:val="32"/>
              <w:szCs w:val="32"/>
              <w:shd w:val="clear" w:fill="FFFFFF"/>
              <w:lang w:val="en-US" w:eastAsia="zh-CN" w:bidi="ar-SA"/>
            </w:rPr>
            <w:fldChar w:fldCharType="begin"/>
          </w:r>
          <w:r>
            <w:rPr>
              <w:rFonts w:hint="eastAsia" w:ascii="仿宋_GB2312" w:hAnsi="仿宋_GB2312" w:eastAsia="仿宋_GB2312" w:cs="仿宋_GB2312"/>
              <w:i w:val="0"/>
              <w:iCs w:val="0"/>
              <w:caps w:val="0"/>
              <w:spacing w:val="0"/>
              <w:kern w:val="2"/>
              <w:sz w:val="32"/>
              <w:szCs w:val="32"/>
              <w:shd w:val="clear" w:fill="FFFFFF"/>
              <w:lang w:val="en-US" w:eastAsia="zh-CN" w:bidi="ar-SA"/>
            </w:rPr>
            <w:instrText xml:space="preserve"> HYPERLINK \l _Toc2945 </w:instrText>
          </w:r>
          <w:r>
            <w:rPr>
              <w:rFonts w:hint="eastAsia" w:ascii="仿宋_GB2312" w:hAnsi="仿宋_GB2312" w:eastAsia="仿宋_GB2312" w:cs="仿宋_GB2312"/>
              <w:i w:val="0"/>
              <w:iCs w:val="0"/>
              <w:caps w:val="0"/>
              <w:spacing w:val="0"/>
              <w:kern w:val="2"/>
              <w:sz w:val="32"/>
              <w:szCs w:val="32"/>
              <w:shd w:val="clear" w:fill="FFFFFF"/>
              <w:lang w:val="en-US" w:eastAsia="zh-CN" w:bidi="ar-SA"/>
            </w:rPr>
            <w:fldChar w:fldCharType="separate"/>
          </w:r>
          <w:r>
            <w:rPr>
              <w:rFonts w:hint="eastAsia" w:ascii="仿宋_GB2312" w:hAnsi="仿宋_GB2312" w:eastAsia="仿宋_GB2312" w:cs="仿宋_GB2312"/>
              <w:bCs/>
              <w:sz w:val="32"/>
              <w:szCs w:val="32"/>
              <w:lang w:val="en-US" w:eastAsia="zh-CN"/>
            </w:rPr>
            <w:t>2.《习近平经济文选》第一卷和《习近平与大学生朋友们》第一、二卷繁体版在香港首发</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i w:val="0"/>
              <w:iCs w:val="0"/>
              <w:caps w:val="0"/>
              <w:color w:val="auto"/>
              <w:spacing w:val="0"/>
              <w:kern w:val="2"/>
              <w:sz w:val="32"/>
              <w:szCs w:val="32"/>
              <w:shd w:val="clear" w:fill="FFFFFF"/>
              <w:lang w:val="en-US" w:eastAsia="zh-CN" w:bidi="ar-SA"/>
            </w:rPr>
            <w:fldChar w:fldCharType="end"/>
          </w:r>
        </w:p>
        <w:p w14:paraId="126EB868">
          <w:pPr>
            <w:pStyle w:val="10"/>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auto"/>
              <w:spacing w:val="0"/>
              <w:kern w:val="2"/>
              <w:sz w:val="32"/>
              <w:szCs w:val="32"/>
              <w:shd w:val="clear" w:fill="FFFFFF"/>
              <w:lang w:val="en-US" w:eastAsia="zh-CN" w:bidi="ar-SA"/>
            </w:rPr>
            <w:fldChar w:fldCharType="begin"/>
          </w:r>
          <w:r>
            <w:rPr>
              <w:rFonts w:hint="eastAsia" w:ascii="仿宋_GB2312" w:hAnsi="仿宋_GB2312" w:eastAsia="仿宋_GB2312" w:cs="仿宋_GB2312"/>
              <w:i w:val="0"/>
              <w:iCs w:val="0"/>
              <w:caps w:val="0"/>
              <w:spacing w:val="0"/>
              <w:kern w:val="2"/>
              <w:sz w:val="32"/>
              <w:szCs w:val="32"/>
              <w:shd w:val="clear" w:fill="FFFFFF"/>
              <w:lang w:val="en-US" w:eastAsia="zh-CN" w:bidi="ar-SA"/>
            </w:rPr>
            <w:instrText xml:space="preserve"> HYPERLINK \l _Toc19459 </w:instrText>
          </w:r>
          <w:r>
            <w:rPr>
              <w:rFonts w:hint="eastAsia" w:ascii="仿宋_GB2312" w:hAnsi="仿宋_GB2312" w:eastAsia="仿宋_GB2312" w:cs="仿宋_GB2312"/>
              <w:i w:val="0"/>
              <w:iCs w:val="0"/>
              <w:caps w:val="0"/>
              <w:spacing w:val="0"/>
              <w:kern w:val="2"/>
              <w:sz w:val="32"/>
              <w:szCs w:val="32"/>
              <w:shd w:val="clear" w:fill="FFFFFF"/>
              <w:lang w:val="en-US" w:eastAsia="zh-CN" w:bidi="ar-SA"/>
            </w:rPr>
            <w:fldChar w:fldCharType="separate"/>
          </w:r>
          <w:r>
            <w:rPr>
              <w:rFonts w:hint="eastAsia" w:ascii="仿宋_GB2312" w:hAnsi="仿宋_GB2312" w:eastAsia="仿宋_GB2312" w:cs="仿宋_GB2312"/>
              <w:bCs/>
              <w:sz w:val="32"/>
              <w:szCs w:val="32"/>
              <w:lang w:val="en-US" w:eastAsia="zh-CN"/>
            </w:rPr>
            <w:t>3.中办印发《关于加强党建带团建工作的意见》</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i w:val="0"/>
              <w:iCs w:val="0"/>
              <w:caps w:val="0"/>
              <w:color w:val="auto"/>
              <w:spacing w:val="0"/>
              <w:kern w:val="2"/>
              <w:sz w:val="32"/>
              <w:szCs w:val="32"/>
              <w:shd w:val="clear" w:fill="FFFFFF"/>
              <w:lang w:val="en-US" w:eastAsia="zh-CN" w:bidi="ar-SA"/>
            </w:rPr>
            <w:fldChar w:fldCharType="end"/>
          </w:r>
        </w:p>
        <w:p w14:paraId="269DB345">
          <w:pPr>
            <w:keepNext w:val="0"/>
            <w:keepLines w:val="0"/>
            <w:pageBreakBefore w:val="0"/>
            <w:widowControl w:val="0"/>
            <w:kinsoku/>
            <w:wordWrap/>
            <w:overflowPunct/>
            <w:topLinePunct w:val="0"/>
            <w:autoSpaceDE/>
            <w:autoSpaceDN/>
            <w:bidi w:val="0"/>
            <w:adjustRightInd/>
            <w:snapToGrid/>
            <w:spacing w:line="560" w:lineRule="exact"/>
            <w:ind w:left="0" w:leftChars="0" w:firstLine="420" w:firstLineChars="200"/>
            <w:textAlignment w:val="auto"/>
            <w:rPr>
              <w:rFonts w:hint="default" w:ascii="Times New Roman" w:hAnsi="Times New Roman" w:eastAsia="仿宋_GB2312" w:cs="Times New Roman"/>
              <w:i w:val="0"/>
              <w:iCs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iCs w:val="0"/>
              <w:caps w:val="0"/>
              <w:color w:val="auto"/>
              <w:spacing w:val="0"/>
              <w:kern w:val="2"/>
              <w:sz w:val="21"/>
              <w:szCs w:val="32"/>
              <w:shd w:val="clear" w:fill="FFFFFF"/>
              <w:lang w:val="en-US" w:eastAsia="zh-CN" w:bidi="ar-SA"/>
            </w:rPr>
            <w:fldChar w:fldCharType="end"/>
          </w:r>
        </w:p>
      </w:sdtContent>
    </w:sdt>
    <w:p w14:paraId="61A02C65">
      <w:pPr>
        <w:ind w:left="0" w:leftChars="0" w:firstLine="0" w:firstLineChars="0"/>
        <w:rPr>
          <w:rFonts w:hint="eastAsia"/>
        </w:rPr>
        <w:sectPr>
          <w:pgSz w:w="11906" w:h="16838"/>
          <w:pgMar w:top="2098" w:right="1474" w:bottom="1984" w:left="1587" w:header="851" w:footer="992" w:gutter="0"/>
          <w:cols w:space="0" w:num="1"/>
          <w:rtlGutter w:val="0"/>
          <w:docGrid w:type="lines" w:linePitch="439" w:charSpace="0"/>
        </w:sectPr>
      </w:pPr>
    </w:p>
    <w:p w14:paraId="45A05801">
      <w:pPr>
        <w:ind w:left="0" w:leftChars="0" w:firstLine="640" w:firstLineChars="200"/>
        <w:rPr>
          <w:rFonts w:hint="eastAsia" w:ascii="黑体" w:hAnsi="黑体" w:eastAsia="黑体" w:cs="黑体"/>
          <w:lang w:val="en-US" w:eastAsia="zh-CN"/>
        </w:rPr>
      </w:pPr>
      <w:r>
        <w:rPr>
          <w:rFonts w:hint="eastAsia" w:ascii="黑体" w:hAnsi="黑体" w:eastAsia="黑体" w:cs="黑体"/>
          <w:lang w:val="en-US" w:eastAsia="zh-CN"/>
        </w:rPr>
        <w:t>一、重要会议、讲话、文件精神</w:t>
      </w:r>
    </w:p>
    <w:p w14:paraId="0E25868E">
      <w:pPr>
        <w:rPr>
          <w:rFonts w:hint="eastAsia" w:ascii="楷体_GB2312" w:hAnsi="楷体_GB2312" w:eastAsia="楷体_GB2312" w:cs="楷体_GB2312"/>
          <w:b/>
          <w:bCs/>
        </w:rPr>
      </w:pPr>
      <w:r>
        <w:rPr>
          <w:rFonts w:hint="eastAsia" w:ascii="楷体_GB2312" w:hAnsi="楷体_GB2312" w:eastAsia="楷体_GB2312" w:cs="楷体_GB2312"/>
          <w:b/>
          <w:bCs/>
          <w:lang w:val="en-US" w:eastAsia="zh-CN"/>
        </w:rPr>
        <w:t>1.</w:t>
      </w:r>
      <w:r>
        <w:rPr>
          <w:rFonts w:hint="eastAsia" w:ascii="楷体_GB2312" w:hAnsi="楷体_GB2312" w:eastAsia="楷体_GB2312" w:cs="楷体_GB2312"/>
          <w:b/>
          <w:bCs/>
        </w:rPr>
        <w:t>习近平向拉美和加勒比国家共同体第十届峰会致贺电</w:t>
      </w:r>
    </w:p>
    <w:p w14:paraId="73870CB1">
      <w:pPr>
        <w:rPr>
          <w:rFonts w:hint="eastAsia"/>
        </w:rPr>
      </w:pPr>
    </w:p>
    <w:p w14:paraId="78F8C5A3">
      <w:pPr>
        <w:ind w:left="0" w:leftChars="0" w:firstLine="0" w:firstLineChars="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习近平向拉美和加勒比国家共同体</w:t>
      </w:r>
    </w:p>
    <w:p w14:paraId="35260341">
      <w:pPr>
        <w:ind w:left="0" w:leftChars="0" w:firstLine="0" w:firstLineChars="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第十届峰会致贺电</w:t>
      </w:r>
    </w:p>
    <w:p w14:paraId="16D14A8D">
      <w:pPr>
        <w:ind w:left="0" w:leftChars="0" w:firstLine="0" w:firstLineChars="0"/>
        <w:rPr>
          <w:rFonts w:hint="eastAsia"/>
        </w:rPr>
      </w:pPr>
    </w:p>
    <w:p w14:paraId="65D91DC2">
      <w:pPr>
        <w:rPr>
          <w:rFonts w:hint="eastAsia"/>
        </w:rPr>
      </w:pPr>
      <w:r>
        <w:rPr>
          <w:rFonts w:hint="eastAsia"/>
        </w:rPr>
        <w:t>新华社北京3月22日</w:t>
      </w:r>
      <w:r>
        <w:rPr>
          <w:rFonts w:hint="eastAsia"/>
          <w:lang w:val="en-US" w:eastAsia="zh-CN"/>
        </w:rPr>
        <w:t xml:space="preserve"> </w:t>
      </w:r>
      <w:r>
        <w:rPr>
          <w:rFonts w:hint="eastAsia"/>
        </w:rPr>
        <w:t>3月21日，拉美和加勒比国家共同体第十届峰会在轮值主席国哥伦比亚举行，国家主席习近平向峰会致贺电。</w:t>
      </w:r>
    </w:p>
    <w:p w14:paraId="0B720F0B">
      <w:pPr>
        <w:rPr>
          <w:rFonts w:hint="eastAsia"/>
        </w:rPr>
      </w:pPr>
      <w:r>
        <w:rPr>
          <w:rFonts w:hint="eastAsia"/>
        </w:rPr>
        <w:t>习近平指出，拉美和加勒比国家共同体成立以来，致力于促进拉美和加勒比地区和平稳定和发展繁荣，为全球南方团结合作、共同发展注入新动力。去年5月，中国—拉共体论坛第四届部长级会议在北京成功举行，我出席开幕式并宣布中拉携手启动团结、发展、文明、和平、民心五大工程，得到拉方积极响应。一年来，中拉双方密切协作，推动五大工程不断走深走实，给双方人民带来实实在在的福祉。</w:t>
      </w:r>
    </w:p>
    <w:p w14:paraId="0300F4D4">
      <w:pPr>
        <w:rPr>
          <w:rFonts w:hint="eastAsia"/>
          <w:lang w:val="en-US" w:eastAsia="zh-CN"/>
        </w:rPr>
      </w:pPr>
      <w:r>
        <w:rPr>
          <w:rFonts w:hint="eastAsia"/>
        </w:rPr>
        <w:t>习近平强调，中国将始终做拉美和加勒比国家的好朋友、好伙伴，支持拉美和加勒比国家维护自身主权、安全、发展利益，愿同拉方携手捍卫国际公平正义，共同书写共建中拉命运共同体新篇章。</w:t>
      </w:r>
    </w:p>
    <w:p w14:paraId="7116C9F7">
      <w:pPr>
        <w:rPr>
          <w:rFonts w:hint="eastAsia" w:eastAsia="仿宋"/>
          <w:lang w:val="en-US" w:eastAsia="zh-CN"/>
        </w:rPr>
      </w:pPr>
      <w:r>
        <w:rPr>
          <w:rFonts w:hint="eastAsia"/>
          <w:lang w:val="en-US" w:eastAsia="zh-CN"/>
        </w:rPr>
        <w:t>来源：《人民日报》（2026年03月23日第01版）</w:t>
      </w:r>
    </w:p>
    <w:p w14:paraId="4E56F3A5">
      <w:pPr>
        <w:rPr>
          <w:rFonts w:hint="eastAsia"/>
        </w:rPr>
      </w:pPr>
      <w:r>
        <w:rPr>
          <w:rFonts w:hint="eastAsia"/>
        </w:rPr>
        <w:br w:type="page"/>
      </w:r>
    </w:p>
    <w:p w14:paraId="110E0C1C">
      <w:pPr>
        <w:rPr>
          <w:rFonts w:hint="eastAsia"/>
        </w:rPr>
      </w:pPr>
      <w:r>
        <w:rPr>
          <w:rFonts w:hint="eastAsia" w:ascii="Times New Roman" w:hAnsi="Times New Roman" w:eastAsia="楷体_GB2312" w:cs="Times New Roman"/>
          <w:b/>
          <w:bCs/>
          <w:color w:val="000000" w:themeColor="text1"/>
          <w:sz w:val="32"/>
          <w:lang w:val="en-US" w:eastAsia="zh-CN"/>
          <w14:textFill>
            <w14:solidFill>
              <w14:schemeClr w14:val="tx1"/>
            </w14:solidFill>
          </w14:textFill>
        </w:rPr>
        <w:t>2.</w:t>
      </w:r>
      <w:r>
        <w:rPr>
          <w:rFonts w:hint="default" w:ascii="Times New Roman" w:hAnsi="Times New Roman" w:eastAsia="楷体_GB2312" w:cs="Times New Roman"/>
          <w:b/>
          <w:bCs/>
          <w:color w:val="000000" w:themeColor="text1"/>
          <w:sz w:val="32"/>
          <w:lang w:val="en-US" w:eastAsia="zh-CN"/>
          <w14:textFill>
            <w14:solidFill>
              <w14:schemeClr w14:val="tx1"/>
            </w14:solidFill>
          </w14:textFill>
        </w:rPr>
        <w:t>《习近平经济文选》第一卷和《习近平与大学生朋友们》第一、二卷繁体版在香港首发</w:t>
      </w:r>
      <w:r>
        <w:rPr>
          <w:rFonts w:hint="eastAsia"/>
        </w:rPr>
        <w:t xml:space="preserve"> </w:t>
      </w:r>
    </w:p>
    <w:p w14:paraId="0AFBD2C6">
      <w:pPr>
        <w:rPr>
          <w:rFonts w:hint="eastAsia"/>
        </w:rPr>
      </w:pPr>
    </w:p>
    <w:p w14:paraId="2E612DE5">
      <w:pPr>
        <w:ind w:left="0" w:leftChars="0" w:firstLine="0" w:firstLineChars="0"/>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《习近平经济文选》第一卷和《习近平与</w:t>
      </w:r>
    </w:p>
    <w:p w14:paraId="4FAFC2BF">
      <w:pPr>
        <w:ind w:left="0" w:leftChars="0" w:firstLine="0" w:firstLineChars="0"/>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大学生朋友们》第一、二卷繁体版</w:t>
      </w:r>
    </w:p>
    <w:p w14:paraId="637B33D8">
      <w:pPr>
        <w:ind w:left="0" w:leftChars="0" w:firstLine="0" w:firstLineChars="0"/>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在香港首发</w:t>
      </w:r>
    </w:p>
    <w:p w14:paraId="4FDF38A4">
      <w:pPr>
        <w:rPr>
          <w:rFonts w:hint="eastAsia"/>
          <w:lang w:val="en-US" w:eastAsia="zh-CN"/>
        </w:rPr>
      </w:pPr>
    </w:p>
    <w:p w14:paraId="448A0B13">
      <w:pPr>
        <w:rPr>
          <w:rFonts w:hint="eastAsia"/>
        </w:rPr>
      </w:pPr>
      <w:r>
        <w:rPr>
          <w:rFonts w:hint="eastAsia"/>
        </w:rPr>
        <w:t>本报香港3月18日电</w:t>
      </w:r>
      <w:r>
        <w:rPr>
          <w:rFonts w:hint="eastAsia"/>
          <w:lang w:eastAsia="zh-CN"/>
        </w:rPr>
        <w:t xml:space="preserve">  </w:t>
      </w:r>
      <w:r>
        <w:rPr>
          <w:rFonts w:hint="eastAsia"/>
        </w:rPr>
        <w:t>（记者冯学知）《习近平经济文选》第一卷和《习近平与大学生朋友们》第一、二卷繁体版，近日由联合出版集团出版发行。3月18日，三部图书繁体版新书发布会暨出版座谈会在香港举办。</w:t>
      </w:r>
    </w:p>
    <w:p w14:paraId="63112A5D">
      <w:pPr>
        <w:rPr>
          <w:rFonts w:hint="eastAsia"/>
        </w:rPr>
      </w:pPr>
      <w:r>
        <w:rPr>
          <w:rFonts w:hint="eastAsia"/>
        </w:rPr>
        <w:t>《习近平经济文选》第一卷收入习近平同志2012年11月至2024年12月期间关于经济建设最重要、最基本的著作，集中反映了以习近平同志为核心的党中央引领我国经济发展取得的历史性成就和发生的历史性变革，集中体现了习近平经济思想开拓中国特色社会主义政治经济学的新境界，是全面系统反映习近平经济思想的权威著作。《习近平与大学生朋友们》第一、二卷讲述了习近平同志在地方和中央工作期间，与大学生们交往交流交心的故事，真实记录了他对青年特别是大学生始终如一的关注关心关爱，是深入学习习近平同志关于青年工作的重要思想的鲜活读本。</w:t>
      </w:r>
    </w:p>
    <w:p w14:paraId="3BC02886">
      <w:pPr>
        <w:rPr>
          <w:rFonts w:hint="eastAsia"/>
        </w:rPr>
      </w:pPr>
      <w:r>
        <w:rPr>
          <w:rFonts w:hint="eastAsia"/>
        </w:rPr>
        <w:t>三部图书繁体版的出版发行，有助于港澳读者系统了解习近平经济思想，深刻理解新发展理念，对于引导港澳同胞和青年一代增进国家、民族和文化认同，更好融入和服务国家发展大局，与全国各族人民一道勠力同心，为实现中华民族伟大复兴而团结奋斗，具有十分重要的意义。</w:t>
      </w:r>
    </w:p>
    <w:p w14:paraId="2F5119ED">
      <w:pPr>
        <w:rPr>
          <w:rFonts w:hint="eastAsia"/>
        </w:rPr>
      </w:pPr>
      <w:r>
        <w:rPr>
          <w:rFonts w:hint="eastAsia"/>
        </w:rPr>
        <w:t>香港特别行政区行政长官李家超，中央政府驻港联络办负责同志，香港爱国爱港机构、政团社团代表，香港经济、文化、教育界代表，香港青年代表出席新书发布会暨出版座谈会。三部图书繁体版即日起在港澳各大书店全面上架并重点推售。</w:t>
      </w:r>
    </w:p>
    <w:p w14:paraId="0DB722D0">
      <w:pPr>
        <w:rPr>
          <w:rFonts w:hint="eastAsia"/>
          <w:lang w:val="en-US" w:eastAsia="zh-CN"/>
        </w:rPr>
      </w:pPr>
    </w:p>
    <w:p w14:paraId="33A2F444">
      <w:pPr>
        <w:rPr>
          <w:rFonts w:hint="eastAsia"/>
          <w:lang w:val="en-US" w:eastAsia="zh-CN"/>
        </w:rPr>
      </w:pPr>
      <w:r>
        <w:rPr>
          <w:rFonts w:hint="eastAsia"/>
          <w:lang w:val="en-US" w:eastAsia="zh-CN"/>
        </w:rPr>
        <w:t>来源：《人民日报》（2026年03月19日第01版）</w:t>
      </w:r>
    </w:p>
    <w:p w14:paraId="7A63577A">
      <w:pPr>
        <w:rPr>
          <w:rFonts w:hint="eastAsia"/>
          <w:lang w:val="en-US" w:eastAsia="zh-CN"/>
        </w:rPr>
      </w:pPr>
      <w:r>
        <w:rPr>
          <w:rFonts w:hint="eastAsia"/>
          <w:lang w:val="en-US" w:eastAsia="zh-CN"/>
        </w:rPr>
        <w:br w:type="page"/>
      </w:r>
    </w:p>
    <w:p w14:paraId="16821F3D">
      <w:pPr>
        <w:rPr>
          <w:rFonts w:hint="eastAsia"/>
          <w:lang w:val="en-US" w:eastAsia="zh-CN"/>
        </w:rPr>
      </w:pPr>
      <w:r>
        <w:rPr>
          <w:rFonts w:hint="eastAsia" w:ascii="楷体_GB2312" w:hAnsi="楷体_GB2312" w:eastAsia="楷体_GB2312" w:cs="楷体_GB2312"/>
          <w:b/>
          <w:bCs/>
          <w:lang w:val="en-US" w:eastAsia="zh-CN"/>
        </w:rPr>
        <w:t>3.中办印发《关于加强党建带团建工作的意见》</w:t>
      </w:r>
      <w:r>
        <w:rPr>
          <w:rFonts w:hint="eastAsia"/>
          <w:lang w:val="en-US" w:eastAsia="zh-CN"/>
        </w:rPr>
        <w:t xml:space="preserve"> </w:t>
      </w:r>
    </w:p>
    <w:p w14:paraId="02E5623E">
      <w:pPr>
        <w:ind w:left="0" w:leftChars="0" w:firstLine="0" w:firstLineChars="0"/>
        <w:rPr>
          <w:rFonts w:hint="eastAsia"/>
          <w:lang w:val="en-US" w:eastAsia="zh-CN"/>
        </w:rPr>
      </w:pPr>
    </w:p>
    <w:p w14:paraId="1C927D41">
      <w:pPr>
        <w:ind w:left="0" w:leftChars="0" w:firstLine="0" w:firstLineChars="0"/>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中办印发《关于加强党建带团建工作的意见》</w:t>
      </w:r>
    </w:p>
    <w:p w14:paraId="1EFC7F86">
      <w:pPr>
        <w:ind w:left="0" w:leftChars="0" w:firstLine="0" w:firstLineChars="0"/>
        <w:rPr>
          <w:rFonts w:hint="eastAsia"/>
          <w:lang w:val="en-US" w:eastAsia="zh-CN"/>
        </w:rPr>
      </w:pPr>
    </w:p>
    <w:p w14:paraId="3D13C373">
      <w:pPr>
        <w:rPr>
          <w:rFonts w:hint="eastAsia"/>
          <w:lang w:val="en-US" w:eastAsia="zh-CN"/>
        </w:rPr>
      </w:pPr>
      <w:r>
        <w:rPr>
          <w:rFonts w:hint="eastAsia"/>
          <w:lang w:val="en-US" w:eastAsia="zh-CN"/>
        </w:rPr>
        <w:t>新华社北京3月20日电  中共中央办公厅印发了《关于加强党建带团建工作的意见》（以下简称《意见》），对加强党建带团建工作作出部署。</w:t>
      </w:r>
    </w:p>
    <w:p w14:paraId="70409C5A">
      <w:pPr>
        <w:rPr>
          <w:rFonts w:hint="eastAsia"/>
          <w:lang w:val="en-US" w:eastAsia="zh-CN"/>
        </w:rPr>
      </w:pPr>
      <w:r>
        <w:rPr>
          <w:rFonts w:hint="eastAsia"/>
          <w:lang w:val="en-US" w:eastAsia="zh-CN"/>
        </w:rPr>
        <w:t>《意见》指出，加强党建带团建工作，要坚持以习近平新时代中国特色社会主义思想为指导，深入贯彻党的二十大和二十届历次全会精神，全面贯彻习近平总书记关于党的建设的重要思想、关于青年工作的重要思想，坚持和加强党对共青团的领导，坚持党管青年工作原则，健全党建带团建制度机制，贯通党、团、队一体化育人链条，带动共青团进一步增强政治性、先进性、群众性，提升引领力、组织力、服务力，全面从严管团治团，切实肩负起新时代新征程党赋予的使命任务，动员引领广大青年坚定不移听党话、跟党走。</w:t>
      </w:r>
    </w:p>
    <w:p w14:paraId="70F92C9E">
      <w:pPr>
        <w:rPr>
          <w:rFonts w:hint="eastAsia"/>
          <w:lang w:val="en-US" w:eastAsia="zh-CN"/>
        </w:rPr>
      </w:pPr>
      <w:r>
        <w:rPr>
          <w:rFonts w:hint="eastAsia"/>
          <w:lang w:val="en-US" w:eastAsia="zh-CN"/>
        </w:rPr>
        <w:t>《意见》要求，加强党中央对共青团和青年工作的集中统一领导，坚持共青团受同级党委和上级团组织双重领导、以同级党委领导为主的组织领导体制。把习近平总书记关于青年工作的重要思想列入各级党委（党组）理论学习中心组学习内容，纳入干部教育培训内容。各级党委（党组）要指导团的领导机关深刻领悟“两个确立”的决定性意义，增强“四个意识”、坚定“四个自信”、做到“两个维护”；指导共青团扎实推进对党忠诚教育和理想信念教育，牢固树立共产主义远大理想和中国特色社会主义共同理想；督促团的领导机关严格执行重大事项请示报告制度；加强团干部政治能力培养。</w:t>
      </w:r>
    </w:p>
    <w:p w14:paraId="3D0A19F4">
      <w:pPr>
        <w:rPr>
          <w:rFonts w:hint="eastAsia"/>
          <w:lang w:val="en-US" w:eastAsia="zh-CN"/>
        </w:rPr>
      </w:pPr>
      <w:r>
        <w:rPr>
          <w:rFonts w:hint="eastAsia"/>
          <w:lang w:val="en-US" w:eastAsia="zh-CN"/>
        </w:rPr>
        <w:t>《意见》要求，各级党委（党组）要指导共青团巩固拓展学习贯彻习近平新时代中国特色社会主义思想主题教育成果，健全落实以学铸魂、以学增智、以学正风、以学促干长效机制；引导广大团员和青年深入学习领会习近平新时代中国特色社会主义思想，大力培育有理想、敢担当、能吃苦、肯奋斗的新时代好青年。健全团干部和团员教育培训工作体系，支持共青团常态化开展团干部教育培训，切实加强团员教育培训。</w:t>
      </w:r>
    </w:p>
    <w:p w14:paraId="7199D461">
      <w:pPr>
        <w:rPr>
          <w:rFonts w:hint="eastAsia"/>
          <w:lang w:val="en-US" w:eastAsia="zh-CN"/>
        </w:rPr>
      </w:pPr>
      <w:r>
        <w:rPr>
          <w:rFonts w:hint="eastAsia"/>
          <w:lang w:val="en-US" w:eastAsia="zh-CN"/>
        </w:rPr>
        <w:t>《意见》要求，各级党委（党组）要加强对团的领导机关建设的指导，支持共青团紧跟党的组织建设步伐，不断巩固拓展团组织的有效覆盖。建设素质过硬的团干部队伍，健全符合群团组织特点的干部管理方式和专职、挂职、兼职相结合的团干部队伍管理制度。充分发挥青年党员在团的工作和建设中的骨干作用。各级党组织要注重从优秀团员中培养和发展党员；加强对少先队工作的领导，指导共青团履行好全团带队责任。支持和指导共青团团结带领青年发挥生力军和突击队作用。规范开展青年五四奖章暨新时代青年先锋奖评选等工作。</w:t>
      </w:r>
    </w:p>
    <w:p w14:paraId="21104637">
      <w:pPr>
        <w:rPr>
          <w:rFonts w:hint="eastAsia"/>
          <w:lang w:val="en-US" w:eastAsia="zh-CN"/>
        </w:rPr>
      </w:pPr>
      <w:r>
        <w:rPr>
          <w:rFonts w:hint="eastAsia"/>
          <w:lang w:val="en-US" w:eastAsia="zh-CN"/>
        </w:rPr>
        <w:t>《意见》要求，各级党组织要加强团干部正确事业观、成长观教育，指导团组织建立团干部为青年办实事工作机制，引导广大团干部不尚虚谈、多务实功，多为青年计、少为自己谋；指导共青团深入贯彻中央八项规定及其实施细则精神，涵养积极健康向上的思想作风、工作作风、生活作风；坚持和完善密切联系青年工作机制，走好网上群众路线，切实发挥好党联系青年的桥梁纽带作用。指导共青团从严落实党的纪律要求。指导共青团推进全面从严管团治团，突出政治要求，净化政治生态，保持良好形象；指导团组织严格团员教育管理，严肃团的组织生活，严格纪律执行。</w:t>
      </w:r>
    </w:p>
    <w:p w14:paraId="1E714B49">
      <w:pPr>
        <w:rPr>
          <w:rFonts w:hint="eastAsia"/>
          <w:lang w:val="en-US" w:eastAsia="zh-CN"/>
        </w:rPr>
      </w:pPr>
      <w:r>
        <w:rPr>
          <w:rFonts w:hint="eastAsia"/>
          <w:lang w:val="en-US" w:eastAsia="zh-CN"/>
        </w:rPr>
        <w:t>《意见》强调，各级党组织要认真履行党建带团建责任，把党建带团建作为党建工作责任制的重要内容，把团建纳入党建工作规划和考核评价内容。共青团要自觉坚持党的领导，落实党建带团建工作部署，全面加强团的工作和建设。</w:t>
      </w:r>
    </w:p>
    <w:p w14:paraId="70B0F7B3">
      <w:pPr>
        <w:rPr>
          <w:rFonts w:hint="eastAsia"/>
          <w:lang w:val="en-US" w:eastAsia="zh-CN"/>
        </w:rPr>
      </w:pPr>
    </w:p>
    <w:p w14:paraId="25E01606">
      <w:pPr>
        <w:rPr>
          <w:rFonts w:hint="default"/>
          <w:lang w:val="en-US" w:eastAsia="zh-CN"/>
        </w:rPr>
      </w:pPr>
      <w:r>
        <w:rPr>
          <w:rFonts w:hint="eastAsia"/>
          <w:lang w:val="en-US" w:eastAsia="zh-CN"/>
        </w:rPr>
        <w:t>来源：《人民日报》（2026年03月21日第01版）</w:t>
      </w:r>
    </w:p>
    <w:sectPr>
      <w:footerReference r:id="rId6" w:type="default"/>
      <w:pgSz w:w="11906" w:h="16838"/>
      <w:pgMar w:top="2098" w:right="1474" w:bottom="1984" w:left="1587" w:header="851" w:footer="992" w:gutter="0"/>
      <w:pgNumType w:fmt="decimal" w:start="1"/>
      <w:cols w:space="0" w:num="1"/>
      <w:rtlGutter w:val="0"/>
      <w:docGrid w:type="lines" w:linePitch="43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429B47">
    <w:pPr>
      <w:pStyle w:val="6"/>
      <w:tabs>
        <w:tab w:val="center" w:pos="4422"/>
        <w:tab w:val="clear" w:pos="4153"/>
      </w:tabs>
      <w:spacing w:line="240" w:lineRule="auto"/>
      <w:ind w:firstLine="0" w:firstLineChars="0"/>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F3A82A">
    <w:pPr>
      <w:pStyle w:val="6"/>
      <w:tabs>
        <w:tab w:val="center" w:pos="4422"/>
        <w:tab w:val="clear" w:pos="4153"/>
      </w:tabs>
      <w:spacing w:line="240" w:lineRule="auto"/>
      <w:ind w:firstLine="0" w:firstLineChars="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D67E80">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FD67E80">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w:t>
                    </w:r>
                  </w:p>
                </w:txbxContent>
              </v:textbox>
            </v:shape>
          </w:pict>
        </mc:Fallback>
      </mc:AlternateContent>
    </w:r>
    <w:r>
      <w:rPr>
        <w:rFonts w:hint="eastAsia"/>
        <w:lang w:eastAsia="zh-CN"/>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220"/>
  <w:displayHorizontalDrawingGridEvery w:val="1"/>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0E7D8E"/>
    <w:rsid w:val="08770FFC"/>
    <w:rsid w:val="08B87FC2"/>
    <w:rsid w:val="09BF5FB9"/>
    <w:rsid w:val="0C070FA4"/>
    <w:rsid w:val="105566B6"/>
    <w:rsid w:val="1E113730"/>
    <w:rsid w:val="1FB11416"/>
    <w:rsid w:val="2E347F86"/>
    <w:rsid w:val="36482D4C"/>
    <w:rsid w:val="3E570308"/>
    <w:rsid w:val="41871C8F"/>
    <w:rsid w:val="42520DAF"/>
    <w:rsid w:val="470E7D8E"/>
    <w:rsid w:val="487F2F7D"/>
    <w:rsid w:val="55DA21FE"/>
    <w:rsid w:val="59E63BC7"/>
    <w:rsid w:val="5E713D2E"/>
    <w:rsid w:val="60A635BC"/>
    <w:rsid w:val="66CF5BC2"/>
    <w:rsid w:val="79BF4521"/>
    <w:rsid w:val="7CC511C4"/>
    <w:rsid w:val="7EC55CDD"/>
    <w:rsid w:val="7EFA0F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ind w:firstLine="420" w:firstLineChars="200"/>
      <w:jc w:val="both"/>
    </w:pPr>
    <w:rPr>
      <w:rFonts w:ascii="Times New Roman" w:hAnsi="Times New Roman" w:eastAsia="仿宋" w:cs="Times New Roman"/>
      <w:kern w:val="2"/>
      <w:sz w:val="32"/>
      <w:szCs w:val="32"/>
      <w:lang w:val="en-US" w:eastAsia="zh-CN" w:bidi="ar-SA"/>
    </w:rPr>
  </w:style>
  <w:style w:type="paragraph" w:styleId="2">
    <w:name w:val="heading 1"/>
    <w:basedOn w:val="1"/>
    <w:qFormat/>
    <w:uiPriority w:val="0"/>
    <w:pPr>
      <w:spacing w:line="600" w:lineRule="exact"/>
      <w:ind w:left="0" w:firstLine="800" w:firstLineChars="200"/>
      <w:outlineLvl w:val="0"/>
    </w:pPr>
    <w:rPr>
      <w:rFonts w:ascii="Times New Roman" w:hAnsi="Times New Roman" w:eastAsia="黑体" w:cs="Times New Roman"/>
      <w:color w:val="000000" w:themeColor="text1"/>
      <w:sz w:val="32"/>
      <w:szCs w:val="32"/>
      <w:lang w:eastAsia="en-US"/>
      <w14:textFill>
        <w14:solidFill>
          <w14:schemeClr w14:val="tx1"/>
        </w14:solidFill>
      </w14:textFill>
    </w:rPr>
  </w:style>
  <w:style w:type="paragraph" w:styleId="3">
    <w:name w:val="heading 2"/>
    <w:basedOn w:val="1"/>
    <w:next w:val="1"/>
    <w:link w:val="15"/>
    <w:semiHidden/>
    <w:unhideWhenUsed/>
    <w:qFormat/>
    <w:uiPriority w:val="0"/>
    <w:pPr>
      <w:keepNext/>
      <w:keepLines/>
      <w:spacing w:beforeLines="0" w:beforeAutospacing="0" w:afterLines="0" w:afterAutospacing="0" w:line="240" w:lineRule="auto"/>
      <w:ind w:firstLine="0" w:firstLineChars="0"/>
      <w:jc w:val="center"/>
      <w:outlineLvl w:val="1"/>
    </w:pPr>
    <w:rPr>
      <w:rFonts w:ascii="Times New Roman" w:hAnsi="Times New Roman" w:eastAsia="黑体"/>
    </w:rPr>
  </w:style>
  <w:style w:type="paragraph" w:styleId="4">
    <w:name w:val="heading 3"/>
    <w:basedOn w:val="1"/>
    <w:next w:val="1"/>
    <w:semiHidden/>
    <w:unhideWhenUsed/>
    <w:qFormat/>
    <w:uiPriority w:val="0"/>
    <w:pPr>
      <w:keepNext/>
      <w:keepLines/>
      <w:spacing w:beforeLines="0" w:beforeAutospacing="0" w:afterLines="0" w:afterAutospacing="0" w:line="620" w:lineRule="exact"/>
      <w:ind w:firstLine="880" w:firstLineChars="200"/>
      <w:outlineLvl w:val="2"/>
    </w:pPr>
    <w:rPr>
      <w:rFonts w:ascii="Times New Roman" w:hAnsi="Times New Roman" w:eastAsia="楷体"/>
      <w:b/>
      <w:bCs/>
      <w:sz w:val="32"/>
      <w:szCs w:val="32"/>
    </w:rPr>
  </w:style>
  <w:style w:type="character" w:default="1" w:styleId="13">
    <w:name w:val="Default Paragraph Font"/>
    <w:semiHidden/>
    <w:unhideWhenUsed/>
    <w:qFormat/>
    <w:uiPriority w:val="1"/>
  </w:style>
  <w:style w:type="table" w:default="1" w:styleId="12">
    <w:name w:val="Normal Table"/>
    <w:semiHidden/>
    <w:qFormat/>
    <w:uiPriority w:val="0"/>
    <w:tblPr>
      <w:tblCellMar>
        <w:top w:w="0" w:type="dxa"/>
        <w:left w:w="108" w:type="dxa"/>
        <w:bottom w:w="0" w:type="dxa"/>
        <w:right w:w="108" w:type="dxa"/>
      </w:tblCellMar>
    </w:tblPr>
  </w:style>
  <w:style w:type="paragraph" w:styleId="5">
    <w:name w:val="Body Text"/>
    <w:basedOn w:val="1"/>
    <w:link w:val="14"/>
    <w:qFormat/>
    <w:uiPriority w:val="0"/>
    <w:pPr>
      <w:spacing w:beforeLines="0" w:afterLines="0"/>
      <w:ind w:left="120"/>
    </w:pPr>
    <w:rPr>
      <w:rFonts w:hint="eastAsia" w:ascii="仿宋_GB2312" w:hAnsi="仿宋_GB2312" w:eastAsia="仿宋"/>
      <w:sz w:val="32"/>
      <w:szCs w:val="24"/>
    </w:rPr>
  </w:style>
  <w:style w:type="paragraph" w:styleId="6">
    <w:name w:val="footer"/>
    <w:qFormat/>
    <w:uiPriority w:val="0"/>
    <w:pPr>
      <w:widowControl w:val="0"/>
      <w:tabs>
        <w:tab w:val="center" w:pos="4153"/>
        <w:tab w:val="right" w:pos="8306"/>
      </w:tabs>
      <w:snapToGrid w:val="0"/>
      <w:jc w:val="left"/>
    </w:pPr>
    <w:rPr>
      <w:rFonts w:ascii="Calibri" w:hAnsi="Calibri" w:eastAsia="宋体" w:cs="Times New Roman"/>
      <w:kern w:val="2"/>
      <w:sz w:val="18"/>
      <w:szCs w:val="24"/>
      <w:lang w:val="en-US" w:eastAsia="zh-CN" w:bidi="ar-SA"/>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next w:val="1"/>
    <w:qFormat/>
    <w:uiPriority w:val="0"/>
    <w:pPr>
      <w:widowControl w:val="0"/>
      <w:jc w:val="both"/>
    </w:pPr>
    <w:rPr>
      <w:rFonts w:ascii="Calibri" w:hAnsi="Calibri" w:eastAsia="宋体" w:cs="Times New Roman"/>
      <w:kern w:val="2"/>
      <w:sz w:val="21"/>
      <w:szCs w:val="24"/>
      <w:lang w:val="en-US" w:eastAsia="zh-CN" w:bidi="ar-SA"/>
    </w:rPr>
  </w:style>
  <w:style w:type="paragraph" w:styleId="9">
    <w:name w:val="footnote text"/>
    <w:basedOn w:val="1"/>
    <w:qFormat/>
    <w:uiPriority w:val="0"/>
    <w:pPr>
      <w:snapToGrid w:val="0"/>
      <w:spacing w:line="240" w:lineRule="auto"/>
      <w:jc w:val="left"/>
    </w:pPr>
    <w:rPr>
      <w:rFonts w:eastAsia="宋体"/>
      <w:sz w:val="21"/>
      <w:szCs w:val="21"/>
    </w:rPr>
  </w:style>
  <w:style w:type="paragraph" w:styleId="10">
    <w:name w:val="toc 2"/>
    <w:next w:val="1"/>
    <w:qFormat/>
    <w:uiPriority w:val="0"/>
    <w:pPr>
      <w:widowControl w:val="0"/>
      <w:ind w:left="420" w:leftChars="200"/>
      <w:jc w:val="both"/>
    </w:pPr>
    <w:rPr>
      <w:rFonts w:ascii="Calibri" w:hAnsi="Calibri" w:eastAsia="宋体" w:cs="Times New Roman"/>
      <w:kern w:val="2"/>
      <w:sz w:val="21"/>
      <w:szCs w:val="24"/>
      <w:lang w:val="en-US" w:eastAsia="zh-CN" w:bidi="ar-SA"/>
    </w:rPr>
  </w:style>
  <w:style w:type="paragraph" w:styleId="11">
    <w:name w:val="Normal (Web)"/>
    <w:qFormat/>
    <w:uiPriority w:val="0"/>
    <w:pPr>
      <w:widowControl w:val="0"/>
      <w:jc w:val="both"/>
    </w:pPr>
    <w:rPr>
      <w:rFonts w:asciiTheme="minorHAnsi" w:hAnsiTheme="minorHAnsi" w:eastAsiaTheme="minorEastAsia" w:cstheme="minorBidi"/>
      <w:kern w:val="2"/>
      <w:sz w:val="24"/>
      <w:szCs w:val="24"/>
      <w:lang w:val="en-US" w:eastAsia="zh-CN" w:bidi="ar-SA"/>
    </w:rPr>
  </w:style>
  <w:style w:type="character" w:customStyle="1" w:styleId="14">
    <w:name w:val="正文文本 Char"/>
    <w:basedOn w:val="13"/>
    <w:link w:val="5"/>
    <w:qFormat/>
    <w:uiPriority w:val="0"/>
    <w:rPr>
      <w:rFonts w:hint="eastAsia" w:ascii="仿宋_GB2312" w:hAnsi="仿宋_GB2312" w:eastAsia="仿宋" w:cs="Times New Roman"/>
      <w:sz w:val="32"/>
      <w:szCs w:val="24"/>
    </w:rPr>
  </w:style>
  <w:style w:type="character" w:customStyle="1" w:styleId="15">
    <w:name w:val="标题 2 Char"/>
    <w:link w:val="3"/>
    <w:qFormat/>
    <w:uiPriority w:val="0"/>
    <w:rPr>
      <w:rFonts w:ascii="Times New Roman" w:hAnsi="Times New Roman" w:eastAsia="黑体"/>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sectNamePr val="招投标文件1"/>
      <sectRole val="1"/>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2569</Words>
  <Characters>2606</Characters>
  <Lines>0</Lines>
  <Paragraphs>0</Paragraphs>
  <TotalTime>2</TotalTime>
  <ScaleCrop>false</ScaleCrop>
  <LinksUpToDate>false</LinksUpToDate>
  <CharactersWithSpaces>2625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2026-03-23T01:00:00Z</dcterms:created>
  <dc:creator>dell</dc:creator>
  <cp:lastModifiedBy>HWY</cp:lastModifiedBy>
  <dcterms:modified xsi:type="dcterms:W3CDTF">2026-05-20T09:13:27Z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BE95B79FD585457FA8F5CCB9E8A8FC99_11</vt:lpwstr>
  </property>
  <property fmtid="{D5CDD505-2E9C-101B-9397-08002B2CF9AE}" pid="4" name="KSOTemplateDocerSaveRecord">
    <vt:lpwstr>eyJoZGlkIjoiZDQ3YmI1OGRkZjIwN2YxODZkNTljZDMwYTU1ZWQ2MjAiLCJ1c2VySWQiOiIzODUyMzIxNTEifQ==</vt:lpwstr>
  </property>
</Properties>
</file>