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6"/>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7"/>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13</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4</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13</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32"/>
          <w:szCs w:val="32"/>
          <w:lang w:val="en-US" w:eastAsia="zh-CN" w:bidi="ar-SA"/>
        </w:rPr>
        <w:id w:val="147470391"/>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1A8ACB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SA"/>
            </w:rPr>
            <w:t xml:space="preserve"> </w:t>
          </w:r>
        </w:p>
        <w:p w14:paraId="6239FFD7">
          <w:pPr>
            <w:pStyle w:val="8"/>
            <w:keepNext w:val="0"/>
            <w:keepLines w:val="0"/>
            <w:pageBreakBefore w:val="0"/>
            <w:widowControl w:val="0"/>
            <w:tabs>
              <w:tab w:val="right" w:leader="dot" w:pos="8845"/>
            </w:tabs>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instrText xml:space="preserve">TOC \o "1-2" \h \u </w:instrTex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separate"/>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begin"/>
          </w:r>
          <w:r>
            <w:rPr>
              <w:rFonts w:hint="eastAsia" w:ascii="楷体_GB2312" w:hAnsi="楷体_GB2312" w:eastAsia="楷体_GB2312" w:cs="楷体_GB2312"/>
              <w:b/>
              <w:bCs/>
              <w:i w:val="0"/>
              <w:iCs w:val="0"/>
              <w:caps w:val="0"/>
              <w:spacing w:val="0"/>
              <w:kern w:val="2"/>
              <w:sz w:val="32"/>
              <w:szCs w:val="32"/>
              <w:shd w:val="clear" w:fill="FFFFFF"/>
              <w:lang w:val="en-US" w:eastAsia="zh-CN" w:bidi="ar-SA"/>
            </w:rPr>
            <w:instrText xml:space="preserve"> HYPERLINK \l _Toc4802 </w:instrText>
          </w:r>
          <w:r>
            <w:rPr>
              <w:rFonts w:hint="eastAsia" w:ascii="楷体_GB2312" w:hAnsi="楷体_GB2312" w:eastAsia="楷体_GB2312" w:cs="楷体_GB2312"/>
              <w:b/>
              <w:bCs/>
              <w:i w:val="0"/>
              <w:iCs w:val="0"/>
              <w:caps w:val="0"/>
              <w:spacing w:val="0"/>
              <w:kern w:val="2"/>
              <w:sz w:val="32"/>
              <w:szCs w:val="32"/>
              <w:shd w:val="clear" w:fill="FFFFFF"/>
              <w:lang w:val="en-US" w:eastAsia="zh-CN" w:bidi="ar-SA"/>
            </w:rPr>
            <w:fldChar w:fldCharType="separate"/>
          </w:r>
          <w:r>
            <w:rPr>
              <w:rFonts w:hint="eastAsia" w:ascii="楷体_GB2312" w:hAnsi="楷体_GB2312" w:eastAsia="楷体_GB2312" w:cs="楷体_GB2312"/>
              <w:b/>
              <w:bCs/>
              <w:sz w:val="32"/>
              <w:szCs w:val="32"/>
              <w:lang w:val="en-US" w:eastAsia="zh-CN"/>
            </w:rPr>
            <w:t>一、重要会议、讲话、文件精神</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PAGEREF _Toc4802 \h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fldChar w:fldCharType="end"/>
          </w:r>
        </w:p>
        <w:p w14:paraId="71DCFAB3">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_Toc21875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1.习近平给四所交通大学全体师生回信强调传承弘扬西迁精神聚焦国家重大战略需求 为建设教育强国科技强国人才强国作出新贡献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71E65B94">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_Toc17111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2.习近平在全军高级干部培训班开班式上发表重要讲话强调 开展思想整风 深化政治整训 以崭新政治面貌迎</w:t>
          </w:r>
          <w:bookmarkStart w:id="4" w:name="_GoBack"/>
          <w:bookmarkEnd w:id="4"/>
          <w:r>
            <w:rPr>
              <w:rFonts w:hint="eastAsia" w:ascii="仿宋_GB2312" w:hAnsi="仿宋_GB2312" w:eastAsia="仿宋_GB2312" w:cs="仿宋_GB2312"/>
              <w:sz w:val="32"/>
              <w:szCs w:val="32"/>
              <w:lang w:val="en-US" w:eastAsia="zh-CN"/>
            </w:rPr>
            <w:t>接建军一百周年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_Toc17111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6B09DB27">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_Toc20275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sz w:val="32"/>
              <w:szCs w:val="32"/>
              <w:lang w:val="en-US" w:eastAsia="zh-CN"/>
            </w:rPr>
            <w:t>3.习近平就服务业发展作出重要指示强调 突出需求牵引改革攻坚科技赋能开放合作 努力开创服务业高质量发展新局面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51C79109">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ectPr>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sdtContent>
    </w:sdt>
    <w:p w14:paraId="265989F9">
      <w:pPr>
        <w:pStyle w:val="2"/>
        <w:bidi w:val="0"/>
        <w:rPr>
          <w:rFonts w:hint="default"/>
          <w:lang w:val="en-US" w:eastAsia="zh-CN"/>
        </w:rPr>
      </w:pPr>
      <w:bookmarkStart w:id="0" w:name="_Toc4802"/>
      <w:r>
        <w:rPr>
          <w:rFonts w:hint="default"/>
          <w:lang w:val="en-US" w:eastAsia="zh-CN"/>
        </w:rPr>
        <w:t>一、重要会议、讲话、文件精神</w:t>
      </w:r>
      <w:bookmarkEnd w:id="0"/>
    </w:p>
    <w:p w14:paraId="7D788F48">
      <w:pPr>
        <w:pStyle w:val="3"/>
        <w:bidi w:val="0"/>
        <w:rPr>
          <w:rFonts w:hint="default"/>
          <w:lang w:val="en-US" w:eastAsia="zh-CN"/>
        </w:rPr>
      </w:pPr>
      <w:bookmarkStart w:id="1" w:name="_Toc21875"/>
      <w:r>
        <w:rPr>
          <w:rFonts w:hint="eastAsia"/>
          <w:lang w:val="en-US" w:eastAsia="zh-CN"/>
        </w:rPr>
        <w:t>1</w:t>
      </w:r>
      <w:r>
        <w:rPr>
          <w:rFonts w:hint="default"/>
          <w:lang w:val="en-US" w:eastAsia="zh-CN"/>
        </w:rPr>
        <w:t>.习近平给四所交通大学全体师生回信强调传承弘扬西迁精神聚焦国家重大战略需求 为建设教育强国科技强国人才强国作出新贡献</w:t>
      </w:r>
      <w:bookmarkEnd w:id="1"/>
    </w:p>
    <w:p w14:paraId="1A58D744">
      <w:pPr>
        <w:spacing w:line="560" w:lineRule="exact"/>
        <w:ind w:firstLine="643" w:firstLineChars="200"/>
        <w:outlineLvl w:val="1"/>
        <w:rPr>
          <w:rFonts w:hint="default" w:ascii="Times New Roman" w:hAnsi="Times New Roman" w:eastAsia="楷体_GB2312" w:cs="Times New Roman"/>
          <w:b/>
          <w:bCs/>
          <w:sz w:val="32"/>
          <w:szCs w:val="32"/>
          <w:lang w:val="en-US" w:eastAsia="zh-CN"/>
        </w:rPr>
      </w:pPr>
    </w:p>
    <w:p w14:paraId="3EC6406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习近平给四所交通大学全体师生回信强调</w:t>
      </w:r>
    </w:p>
    <w:p w14:paraId="120AD26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传承弘扬西迁精神聚焦国家重大战略需求</w:t>
      </w:r>
    </w:p>
    <w:p w14:paraId="0F6A98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为建设教育强国科技强国人才强国作出新贡献</w:t>
      </w:r>
    </w:p>
    <w:p w14:paraId="57581FA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方正小标宋简体" w:hAnsi="方正小标宋简体" w:eastAsia="方正小标宋简体" w:cs="方正小标宋简体"/>
          <w:kern w:val="2"/>
          <w:sz w:val="44"/>
          <w:szCs w:val="44"/>
          <w:lang w:val="en-US" w:eastAsia="zh-CN" w:bidi="ar-SA"/>
        </w:rPr>
      </w:pPr>
    </w:p>
    <w:p w14:paraId="187F5F0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回 信</w:t>
      </w:r>
    </w:p>
    <w:p w14:paraId="71C61E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上海交通大学、西安交通大学、西南交通大学、北京交通大学全体师生：</w:t>
      </w:r>
    </w:p>
    <w:p w14:paraId="74E36D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来信收悉。你们四所高校根脉相连，今年共同迎来建校130周年，在此向全体师生员工、广大校友表示祝贺。</w:t>
      </w:r>
    </w:p>
    <w:p w14:paraId="75B86C0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4B3D6834">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r>
        <w:rPr>
          <w:rFonts w:hint="eastAsia" w:ascii="Times New Roman" w:hAnsi="Times New Roman" w:eastAsia="仿宋_GB2312" w:cs="Times New Roman"/>
          <w:kern w:val="2"/>
          <w:sz w:val="32"/>
          <w:szCs w:val="32"/>
          <w:lang w:val="en-US" w:eastAsia="zh-CN" w:bidi="ar-SA"/>
        </w:rPr>
        <w:t xml:space="preserve">    </w:t>
      </w:r>
    </w:p>
    <w:p w14:paraId="1C8BB9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right"/>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rPr>
        <w:t>2026年4月7日</w:t>
      </w:r>
    </w:p>
    <w:p w14:paraId="3F7735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right"/>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rPr>
        <w:t>（新华社北京4月7日电）</w:t>
      </w:r>
    </w:p>
    <w:p w14:paraId="1548D1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right"/>
        <w:rPr>
          <w:rFonts w:hint="eastAsia" w:ascii="仿宋_GB2312" w:hAnsi="仿宋_GB2312" w:eastAsia="仿宋_GB2312" w:cs="仿宋_GB2312"/>
          <w:i w:val="0"/>
          <w:iCs w:val="0"/>
          <w:caps w:val="0"/>
          <w:color w:val="2C2C2C"/>
          <w:spacing w:val="0"/>
          <w:sz w:val="32"/>
          <w:szCs w:val="32"/>
          <w:shd w:val="clear" w:fill="FFFFFF"/>
          <w:lang w:eastAsia="zh-CN"/>
        </w:rPr>
      </w:pPr>
      <w:r>
        <w:rPr>
          <w:rFonts w:hint="eastAsia" w:ascii="仿宋_GB2312" w:hAnsi="仿宋_GB2312" w:eastAsia="仿宋_GB2312" w:cs="仿宋_GB2312"/>
          <w:i w:val="0"/>
          <w:iCs w:val="0"/>
          <w:caps w:val="0"/>
          <w:color w:val="2C2C2C"/>
          <w:spacing w:val="0"/>
          <w:sz w:val="32"/>
          <w:szCs w:val="32"/>
          <w:shd w:val="clear" w:fill="FFFFFF"/>
        </w:rPr>
        <w:t>新华社北京4月7日电</w:t>
      </w:r>
      <w:r>
        <w:rPr>
          <w:rFonts w:hint="eastAsia" w:ascii="仿宋_GB2312" w:hAnsi="仿宋_GB2312" w:eastAsia="仿宋_GB2312" w:cs="仿宋_GB2312"/>
          <w:i w:val="0"/>
          <w:iCs w:val="0"/>
          <w:caps w:val="0"/>
          <w:color w:val="2C2C2C"/>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2C2C2C"/>
          <w:spacing w:val="0"/>
          <w:sz w:val="32"/>
          <w:szCs w:val="32"/>
          <w:shd w:val="clear" w:fill="FFFFFF"/>
        </w:rPr>
        <w:t>近日，中共中央总书记、国家主席、中央军委主席习近平给上海交通大学、西安交通大学、西南交通大学、北京交通大学全体师生回信，对学校发展提出殷切期望</w:t>
      </w:r>
      <w:r>
        <w:rPr>
          <w:rFonts w:hint="eastAsia" w:ascii="仿宋_GB2312" w:hAnsi="仿宋_GB2312" w:eastAsia="仿宋_GB2312" w:cs="仿宋_GB2312"/>
          <w:i w:val="0"/>
          <w:iCs w:val="0"/>
          <w:caps w:val="0"/>
          <w:color w:val="2C2C2C"/>
          <w:spacing w:val="0"/>
          <w:sz w:val="32"/>
          <w:szCs w:val="32"/>
          <w:shd w:val="clear" w:fill="FFFFFF"/>
          <w:lang w:eastAsia="zh-CN"/>
        </w:rPr>
        <w:t>。</w:t>
      </w:r>
    </w:p>
    <w:p w14:paraId="026FC6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rPr>
        <w:t>习近平指出，你们四所高校根脉相连，今年共同迎来建校130周年，在此向全体师生员工、广大校友表示祝贺。</w:t>
      </w:r>
    </w:p>
    <w:p w14:paraId="593DEF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rPr>
        <w:t>习近平强调，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回信全文另发）</w:t>
      </w:r>
    </w:p>
    <w:p w14:paraId="0F59D3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rPr>
        <w:t>上海交通大学、西安交通大学、西南交通大学、北京交通大学的前身，分别是1896年成立的南洋公学、北洋铁路官学堂和1909年成立的铁路管理传习所，1921年合并组建为交通大学。近日，四所交通大学全体师生给习近平总书记写信，汇报学校130年发展历程和办学成绩，表达为强国建设、民族复兴伟业贡献力量的决心。</w:t>
      </w:r>
    </w:p>
    <w:p w14:paraId="22136A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right="0" w:firstLine="640" w:firstLineChars="200"/>
        <w:jc w:val="both"/>
        <w:rPr>
          <w:rFonts w:hint="eastAsia" w:ascii="仿宋_GB2312" w:hAnsi="仿宋_GB2312" w:eastAsia="仿宋_GB2312" w:cs="仿宋_GB2312"/>
          <w:i w:val="0"/>
          <w:iCs w:val="0"/>
          <w:caps w:val="0"/>
          <w:color w:val="2C2C2C"/>
          <w:spacing w:val="0"/>
          <w:sz w:val="32"/>
          <w:szCs w:val="32"/>
          <w:shd w:val="clear" w:fill="FFFFFF"/>
        </w:rPr>
      </w:pPr>
      <w:r>
        <w:rPr>
          <w:rFonts w:hint="eastAsia" w:ascii="仿宋_GB2312" w:hAnsi="仿宋_GB2312" w:eastAsia="仿宋_GB2312" w:cs="仿宋_GB2312"/>
          <w:i w:val="0"/>
          <w:iCs w:val="0"/>
          <w:caps w:val="0"/>
          <w:color w:val="2C2C2C"/>
          <w:spacing w:val="0"/>
          <w:sz w:val="32"/>
          <w:szCs w:val="32"/>
          <w:shd w:val="clear" w:fill="FFFFFF"/>
          <w:lang w:val="en-US" w:eastAsia="zh-CN"/>
        </w:rPr>
        <w:t>来源：</w:t>
      </w:r>
      <w:r>
        <w:rPr>
          <w:rFonts w:hint="eastAsia" w:ascii="仿宋_GB2312" w:hAnsi="仿宋_GB2312" w:eastAsia="仿宋_GB2312" w:cs="仿宋_GB2312"/>
          <w:i w:val="0"/>
          <w:iCs w:val="0"/>
          <w:caps w:val="0"/>
          <w:color w:val="2C2C2C"/>
          <w:spacing w:val="0"/>
          <w:sz w:val="32"/>
          <w:szCs w:val="32"/>
          <w:shd w:val="clear" w:fill="FFFFFF"/>
        </w:rPr>
        <w:t>《人民日报》（2026年04月08日01版）</w:t>
      </w:r>
    </w:p>
    <w:p w14:paraId="0416BF0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40D2DB60">
      <w:pPr>
        <w:pStyle w:val="3"/>
        <w:bidi w:val="0"/>
        <w:rPr>
          <w:rFonts w:hint="default"/>
          <w:lang w:val="en-US" w:eastAsia="zh-CN"/>
        </w:rPr>
      </w:pPr>
      <w:bookmarkStart w:id="2" w:name="_Toc17111"/>
      <w:r>
        <w:rPr>
          <w:rFonts w:hint="eastAsia"/>
          <w:lang w:val="en-US" w:eastAsia="zh-CN"/>
        </w:rPr>
        <w:t>2.</w:t>
      </w:r>
      <w:r>
        <w:rPr>
          <w:rFonts w:hint="default"/>
          <w:lang w:val="en-US" w:eastAsia="zh-CN"/>
        </w:rPr>
        <w:t>习近平在全军高级干部培训班开班式上发表重要讲话强调 开展思想整风 深化政治整训 以崭新政治面貌迎接建军一百周年</w:t>
      </w:r>
      <w:bookmarkEnd w:id="2"/>
    </w:p>
    <w:p w14:paraId="6D4B1F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楷体_GB2312" w:cs="Times New Roman"/>
          <w:b/>
          <w:bCs/>
          <w:sz w:val="32"/>
          <w:szCs w:val="32"/>
          <w:lang w:val="en-US" w:eastAsia="zh-CN"/>
        </w:rPr>
      </w:pPr>
    </w:p>
    <w:p w14:paraId="19C722E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习近平在全军高级干部培训班开班式上发表</w:t>
      </w:r>
    </w:p>
    <w:p w14:paraId="4816844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重要讲话强调</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rPr>
        <w:t>开展思想整风</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rPr>
        <w:t>深化政治整训</w:t>
      </w:r>
    </w:p>
    <w:p w14:paraId="4ED5D6A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以崭新政治面貌迎接建军一百周年</w:t>
      </w:r>
    </w:p>
    <w:p w14:paraId="267BE969">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方正小标宋简体" w:cs="Times New Roman"/>
          <w:color w:val="000000"/>
          <w:sz w:val="44"/>
          <w:szCs w:val="44"/>
          <w:lang w:val="en-US" w:eastAsia="zh-CN"/>
        </w:rPr>
      </w:pPr>
    </w:p>
    <w:p w14:paraId="34F19A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新华社北京4月8日电 （记者梅常伟）全军高级干部培训班8日上午在国防大学开班。中共中央总书记、国家主席、中央军委主席习近平出席开班式并发表重要讲话。他强调，要以新时代中国特色社会主义思想为指导，深入贯彻新时代强军思想，开展思想整风，深化政治整训，加强我军干部队伍革命性锻造，始终保持人民军队纯洁光荣，以崭新政治面貌迎接建军一百周年</w:t>
      </w:r>
      <w:r>
        <w:rPr>
          <w:rFonts w:hint="eastAsia" w:ascii="Times New Roman" w:hAnsi="Times New Roman" w:eastAsia="仿宋_GB2312" w:cs="Times New Roman"/>
          <w:kern w:val="2"/>
          <w:sz w:val="32"/>
          <w:szCs w:val="32"/>
          <w:lang w:val="en-US" w:eastAsia="zh-CN" w:bidi="ar-SA"/>
        </w:rPr>
        <w:t>。</w:t>
      </w:r>
    </w:p>
    <w:p w14:paraId="6646B2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我党我军是用理想信念凝聚起来的，加入这个党、这支军队，就要笃信马克思主义，就要忠诚于党的信仰、党的组织、党的事业。要认真学习党的创新理论，掌握贯穿其中的马克思主义立场观点方法，以理论上的清醒保证政治上的坚定。军队领导干部特别是高级干部要带头严肃党内政治生活，当好讲真话的表率，涵养能容人的雅量，营造说实情、建诤言、敢斗争的浓厚氛围。</w:t>
      </w:r>
    </w:p>
    <w:p w14:paraId="477391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我们党是始终代表最广大人民根本利益的马克思主义政党，没有任何自己的特殊利益，一切谋私贪腐的思想和行为都同党的性质宗旨格格不入。军队各级干部要自觉摆正位置，站稳群众立场，克服一切脱离群众的私心杂念。高级干部要带头恢复和弘扬我党我军优良传统，放下官架子、回归革命军人本色，让新风正气在部队更加充盈。要懂法纪、明规矩、知敬畏，做到法规制度面前人人平等，遵守法规制度没有特殊，执行法规制度没有例外</w:t>
      </w:r>
      <w:r>
        <w:rPr>
          <w:rFonts w:hint="eastAsia" w:ascii="Times New Roman" w:hAnsi="Times New Roman" w:eastAsia="仿宋_GB2312" w:cs="Times New Roman"/>
          <w:kern w:val="2"/>
          <w:sz w:val="32"/>
          <w:szCs w:val="32"/>
          <w:lang w:val="en-US" w:eastAsia="zh-CN" w:bidi="ar-SA"/>
        </w:rPr>
        <w:t>。</w:t>
      </w:r>
    </w:p>
    <w:p w14:paraId="05A28D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我党我军是在同各种错误思想作风的斗争中不断发展壮大的。相信在新时代中国特色社会主义思想指引下，人民军队一定能够以新的历史条件下的空前团结统一，书写无愧于革命先辈、无愧于百年基业、无愧于伟大时代的强军兴军新篇章。</w:t>
      </w:r>
    </w:p>
    <w:p w14:paraId="0F19919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中央军委副主席张升民主持开班式。第一期全军高级干部培训班学员，军委机关各部门、军队驻京有关单位主要负责同志等参加。开班式以电视电话会议形式组织，在全军相关军级以上单位设分会场。</w:t>
      </w:r>
    </w:p>
    <w:p w14:paraId="1D6AC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49ABE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《人民日报》（2026年04月09日01版）</w:t>
      </w:r>
    </w:p>
    <w:p w14:paraId="48815A40">
      <w:pPr>
        <w:pStyle w:val="3"/>
        <w:bidi w:val="0"/>
        <w:rPr>
          <w:rFonts w:hint="eastAsia"/>
          <w:lang w:val="en-US" w:eastAsia="zh-CN"/>
        </w:rPr>
      </w:pPr>
      <w:bookmarkStart w:id="3" w:name="_Toc20275"/>
      <w:r>
        <w:rPr>
          <w:rFonts w:hint="eastAsia"/>
          <w:lang w:val="en-US" w:eastAsia="zh-CN"/>
        </w:rPr>
        <w:t>3.习近平就服务业发展作出重要指示强调 突出需求牵引改革攻坚科技赋能开放合作 努力开创服务业高质量发展新局面</w:t>
      </w:r>
      <w:bookmarkEnd w:id="3"/>
    </w:p>
    <w:p w14:paraId="4471E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楷体_GB2312" w:hAnsi="楷体_GB2312" w:eastAsia="楷体_GB2312" w:cs="楷体_GB2312"/>
          <w:b/>
          <w:bCs/>
          <w:kern w:val="2"/>
          <w:sz w:val="32"/>
          <w:szCs w:val="32"/>
          <w:lang w:val="en-US" w:eastAsia="zh-CN" w:bidi="ar-SA"/>
        </w:rPr>
      </w:pPr>
    </w:p>
    <w:p w14:paraId="600348A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习近平就服务业发展作出重要指示强调</w:t>
      </w:r>
    </w:p>
    <w:p w14:paraId="6B6838B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突出需求牵引改革攻坚科技赋能开放合作</w:t>
      </w:r>
    </w:p>
    <w:p w14:paraId="2156C89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努力开创服务业高质量发展新局面</w:t>
      </w:r>
    </w:p>
    <w:p w14:paraId="2C0BB1B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p>
    <w:p w14:paraId="01E9E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本报北京4月8日电  中共中央总书记、国家主席、中央军委主席习近平近日就服务业发展作出重要指示指出，党的十八大以来，我国服务业规模稳步扩大，质效持续提升，在支撑产业升级、满足民生需要、带动就业扩容等方面发挥了重要作用。</w:t>
      </w:r>
    </w:p>
    <w:p w14:paraId="733B61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新征程上，要坚持以新时代中国特色社会主义思想为指导，完整准确全面贯彻新发展理念，突出需求牵引、改革攻坚、科技赋能、开放合作，深入实施服务业扩能提质行动，推进生产性服务业向专业化和价值链高端延伸，促进生活性服务业高品质多样化便利化发展，培育更多“中国服务”品牌，努力开创服务业高质量发展新局面。</w:t>
      </w:r>
    </w:p>
    <w:p w14:paraId="0A9C8F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全国服务业大会4月7日至8日在京召开。会上传达了习近平重要指示。中共中央政治局常委、国务院总理李强出席会议并讲话，中共中央政治局常委、国务院副总理丁薛祥作总结讲话。</w:t>
      </w:r>
    </w:p>
    <w:p w14:paraId="74BC3D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强在讲话中指出，习近平总书记的重要指示深刻阐明了发展服务业的重大意义、重要原则、重点任务，具有很强的思想性、指导性、针对性，为做好相关工作进一步指明了方向。我们要认真学习领会，坚决贯彻落实，自觉从战略和全局的高度深化对服务业的认识，坚持扩能和提质并举、发展和监管统筹，更好促进服务业优质高效发展，确保既充满活力又健康有序。</w:t>
      </w:r>
    </w:p>
    <w:p w14:paraId="1E943C4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强指出，要顺应人口结构变化、消费结构升级和产业结构转型趋势，聚焦生产生活重点领域，分层分类推动服务业发展，不断培育服务业新增长点，提升服务业数智化、标准化、融合化、国际化发展水平。围绕居民日常生活需要，促进基本需求类服务更加普惠优质。围绕居民对高品质生活的追求，扩大升级类服务供给。围绕居民多样化消费需求，做精做细个性化服务。围绕研发设计专业化、高端化，加快壮大科技服务。围绕生产环节价值提升，大力发展先进制造服务。围绕市场价值实现，着力提升配套专业服务水平。</w:t>
      </w:r>
    </w:p>
    <w:p w14:paraId="4C5C70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李强强调，要用改革创新的思路办法推动工作，深入把握产业演进趋势，坚持既“放得活”又“管得好”，积极扩大开放，进一步增强政策支持的针对性有效性，为服务业发展营造良好环境。各部门各地方要树立和践行正确政绩观，加强协调配合，努力探索创新，共同谱写服务业优质高效发展新篇章。</w:t>
      </w:r>
    </w:p>
    <w:p w14:paraId="7524B3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丁薛祥在总结讲话中表示，要进一步把思想和行动统一到习近平总书记重要指示精神和党中央决策部署上来，紧扣扩能提质扎实推进服务业发展重点任务。注重创新驱动，大力发展科技服务，加强数智服务，推动制造业和服务业融合发展。注重降本增效，做强做优现代物流、金融服务、商务服务，促进经济循环各环节畅通衔接。注重民生需要，促进日常生活服务更加便捷、公共服务高效适配、文旅体等服务创新发展，更好满足个性化、多样化、高品质需求。注重增强活力，纵深推进全国统一大市场建设，加强服务业标准化建设，扩大服务业制度型开放。各地区各部门各单位要树立和践行正确政绩观，推动党中央和国务院决策部署落地见效。</w:t>
      </w:r>
    </w:p>
    <w:p w14:paraId="45CDBE0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国家发展改革委、国家卫生健康委、市场监管总局、上海市、湖南省有关负责同志作交流发言。</w:t>
      </w:r>
    </w:p>
    <w:p w14:paraId="2CDA45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吴政隆出席会议。</w:t>
      </w:r>
    </w:p>
    <w:p w14:paraId="715768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议以电视电话会议形式召开。各省、自治区、直辖市和计划单列市、新疆生产建设兵团，中央和国家机关有关部门、有关人民团体，中央管理的金融机构、部分中央企业，中央军委机关有关部门负责同志等参加会议。</w:t>
      </w:r>
    </w:p>
    <w:p w14:paraId="16E4E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p>
    <w:p w14:paraId="4F74A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《人民日报》（2026年04月09日01版）</w:t>
      </w:r>
    </w:p>
    <w:p w14:paraId="4732ED6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cs="Times New Roman"/>
          <w:lang w:val="en-US" w:eastAsia="zh-CN"/>
        </w:rPr>
      </w:pP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85A4FD68-386B-4D42-B7C3-7AEAC024FC63}"/>
  </w:font>
  <w:font w:name="方正小标宋简体">
    <w:panose1 w:val="03000509000000000000"/>
    <w:charset w:val="86"/>
    <w:family w:val="auto"/>
    <w:pitch w:val="default"/>
    <w:sig w:usb0="00000001" w:usb1="080E0000" w:usb2="00000000" w:usb3="00000000" w:csb0="00040000" w:csb1="00000000"/>
    <w:embedRegular r:id="rId2" w:fontKey="{56E6A994-E815-42B3-BB55-D7D0D27493A2}"/>
  </w:font>
  <w:font w:name="仿宋_GB2312">
    <w:panose1 w:val="02010609030101010101"/>
    <w:charset w:val="86"/>
    <w:family w:val="modern"/>
    <w:pitch w:val="default"/>
    <w:sig w:usb0="00000001" w:usb1="080E0000" w:usb2="00000000" w:usb3="00000000" w:csb0="00040000" w:csb1="00000000"/>
    <w:embedRegular r:id="rId3" w:fontKey="{B793F545-4DE5-4549-AD2F-66A53CD66B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3269CE64">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2A43E2A"/>
    <w:rsid w:val="03AE08A7"/>
    <w:rsid w:val="03FE37A3"/>
    <w:rsid w:val="0610226C"/>
    <w:rsid w:val="06212B1B"/>
    <w:rsid w:val="064F0DD5"/>
    <w:rsid w:val="06F14CC1"/>
    <w:rsid w:val="075A7AEE"/>
    <w:rsid w:val="09C71698"/>
    <w:rsid w:val="0B3C4CDA"/>
    <w:rsid w:val="0CDD71F7"/>
    <w:rsid w:val="0D73111D"/>
    <w:rsid w:val="0DA740BB"/>
    <w:rsid w:val="0DF20A80"/>
    <w:rsid w:val="0E401CB6"/>
    <w:rsid w:val="0E615A61"/>
    <w:rsid w:val="0F362BEE"/>
    <w:rsid w:val="0F8A406F"/>
    <w:rsid w:val="10393BF3"/>
    <w:rsid w:val="107B2FAF"/>
    <w:rsid w:val="107D3D12"/>
    <w:rsid w:val="10C702B5"/>
    <w:rsid w:val="10E82981"/>
    <w:rsid w:val="11B36388"/>
    <w:rsid w:val="12024E68"/>
    <w:rsid w:val="133A1F99"/>
    <w:rsid w:val="13D9004A"/>
    <w:rsid w:val="13F54E26"/>
    <w:rsid w:val="1489065E"/>
    <w:rsid w:val="17895AAB"/>
    <w:rsid w:val="17A74251"/>
    <w:rsid w:val="17CE32DA"/>
    <w:rsid w:val="192D3605"/>
    <w:rsid w:val="193629DE"/>
    <w:rsid w:val="199B397C"/>
    <w:rsid w:val="19DB2D10"/>
    <w:rsid w:val="1A655A22"/>
    <w:rsid w:val="1AA8054F"/>
    <w:rsid w:val="1C1E25ED"/>
    <w:rsid w:val="1C7E2166"/>
    <w:rsid w:val="1D930CFA"/>
    <w:rsid w:val="1DE60F35"/>
    <w:rsid w:val="1DF74CD6"/>
    <w:rsid w:val="1FB42039"/>
    <w:rsid w:val="1FC61D6D"/>
    <w:rsid w:val="20B77427"/>
    <w:rsid w:val="21973B5F"/>
    <w:rsid w:val="2208041A"/>
    <w:rsid w:val="22A90994"/>
    <w:rsid w:val="23B20354"/>
    <w:rsid w:val="23D56A81"/>
    <w:rsid w:val="24AA2793"/>
    <w:rsid w:val="24C93B89"/>
    <w:rsid w:val="285A5756"/>
    <w:rsid w:val="28615EB6"/>
    <w:rsid w:val="28867B77"/>
    <w:rsid w:val="2909285F"/>
    <w:rsid w:val="290A15EB"/>
    <w:rsid w:val="29217182"/>
    <w:rsid w:val="2948435D"/>
    <w:rsid w:val="29DD51BA"/>
    <w:rsid w:val="29FC5D73"/>
    <w:rsid w:val="2B5841C1"/>
    <w:rsid w:val="2C562259"/>
    <w:rsid w:val="2C8D7E9A"/>
    <w:rsid w:val="2E5A6C69"/>
    <w:rsid w:val="2F29724E"/>
    <w:rsid w:val="30F11BA8"/>
    <w:rsid w:val="31456F95"/>
    <w:rsid w:val="319D7376"/>
    <w:rsid w:val="31B77F20"/>
    <w:rsid w:val="32496F8F"/>
    <w:rsid w:val="32B067E5"/>
    <w:rsid w:val="35074561"/>
    <w:rsid w:val="355D6A34"/>
    <w:rsid w:val="35B90996"/>
    <w:rsid w:val="360C5E39"/>
    <w:rsid w:val="373741BF"/>
    <w:rsid w:val="37A60F28"/>
    <w:rsid w:val="383218F5"/>
    <w:rsid w:val="3A3A5696"/>
    <w:rsid w:val="3B4A0130"/>
    <w:rsid w:val="3CAB3445"/>
    <w:rsid w:val="3CFE449C"/>
    <w:rsid w:val="3E287A22"/>
    <w:rsid w:val="3E301F1F"/>
    <w:rsid w:val="3EF01E51"/>
    <w:rsid w:val="3F2C1314"/>
    <w:rsid w:val="401D10DD"/>
    <w:rsid w:val="418932E2"/>
    <w:rsid w:val="4189356F"/>
    <w:rsid w:val="4517434D"/>
    <w:rsid w:val="4577303D"/>
    <w:rsid w:val="457C2431"/>
    <w:rsid w:val="45A07453"/>
    <w:rsid w:val="48AF2AEE"/>
    <w:rsid w:val="4BFD7A3B"/>
    <w:rsid w:val="4C757F79"/>
    <w:rsid w:val="4D6C7200"/>
    <w:rsid w:val="4D6F1F02"/>
    <w:rsid w:val="4F1A4144"/>
    <w:rsid w:val="4F4C553B"/>
    <w:rsid w:val="51AF1521"/>
    <w:rsid w:val="526343B5"/>
    <w:rsid w:val="52CF44B9"/>
    <w:rsid w:val="53673A3C"/>
    <w:rsid w:val="53956627"/>
    <w:rsid w:val="53B0534E"/>
    <w:rsid w:val="540D550D"/>
    <w:rsid w:val="549E05E7"/>
    <w:rsid w:val="560A791F"/>
    <w:rsid w:val="560E683E"/>
    <w:rsid w:val="563838FB"/>
    <w:rsid w:val="56A95021"/>
    <w:rsid w:val="56D046D5"/>
    <w:rsid w:val="58B06210"/>
    <w:rsid w:val="58EC2A74"/>
    <w:rsid w:val="591F64C4"/>
    <w:rsid w:val="59F36CDF"/>
    <w:rsid w:val="5A306F60"/>
    <w:rsid w:val="5AC82B3C"/>
    <w:rsid w:val="5AD16135"/>
    <w:rsid w:val="5B3812E5"/>
    <w:rsid w:val="5CED3EB9"/>
    <w:rsid w:val="5D545EF0"/>
    <w:rsid w:val="5E113BD7"/>
    <w:rsid w:val="5E1F70B7"/>
    <w:rsid w:val="5EEB1091"/>
    <w:rsid w:val="6031687D"/>
    <w:rsid w:val="60A76A75"/>
    <w:rsid w:val="60BD3BA3"/>
    <w:rsid w:val="62E6103D"/>
    <w:rsid w:val="635C309D"/>
    <w:rsid w:val="658B24C1"/>
    <w:rsid w:val="66B03212"/>
    <w:rsid w:val="683E4A4B"/>
    <w:rsid w:val="69986317"/>
    <w:rsid w:val="6AA51EBB"/>
    <w:rsid w:val="6ABC311D"/>
    <w:rsid w:val="6B86196A"/>
    <w:rsid w:val="6C436CC4"/>
    <w:rsid w:val="722E0369"/>
    <w:rsid w:val="72A23A69"/>
    <w:rsid w:val="73F8480A"/>
    <w:rsid w:val="7427583B"/>
    <w:rsid w:val="768371E5"/>
    <w:rsid w:val="775748F9"/>
    <w:rsid w:val="782878B2"/>
    <w:rsid w:val="784E18CA"/>
    <w:rsid w:val="7876107B"/>
    <w:rsid w:val="788B412F"/>
    <w:rsid w:val="79FD57A8"/>
    <w:rsid w:val="7B202255"/>
    <w:rsid w:val="7B231D2F"/>
    <w:rsid w:val="7B353D45"/>
    <w:rsid w:val="7BB3231A"/>
    <w:rsid w:val="7CDA16A7"/>
    <w:rsid w:val="7D4C0330"/>
    <w:rsid w:val="7E5F5463"/>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560" w:lineRule="exact"/>
      <w:ind w:firstLine="643" w:firstLineChars="200"/>
      <w:outlineLvl w:val="0"/>
    </w:pPr>
    <w:rPr>
      <w:rFonts w:ascii="Times New Roman" w:hAnsi="Times New Roman" w:eastAsia="黑体"/>
      <w:b/>
      <w:bCs/>
      <w:sz w:val="32"/>
      <w:szCs w:val="40"/>
    </w:rPr>
  </w:style>
  <w:style w:type="paragraph" w:styleId="3">
    <w:name w:val="heading 2"/>
    <w:basedOn w:val="1"/>
    <w:next w:val="1"/>
    <w:unhideWhenUsed/>
    <w:qFormat/>
    <w:uiPriority w:val="0"/>
    <w:pPr>
      <w:spacing w:line="560" w:lineRule="exact"/>
      <w:ind w:firstLine="643" w:firstLineChars="200"/>
      <w:outlineLvl w:val="1"/>
    </w:pPr>
    <w:rPr>
      <w:rFonts w:ascii="Times New Roman" w:hAnsi="Times New Roman" w:eastAsia="楷体_GB2312"/>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3224</Words>
  <Characters>3266</Characters>
  <Lines>0</Lines>
  <Paragraphs>0</Paragraphs>
  <TotalTime>0</TotalTime>
  <ScaleCrop>false</ScaleCrop>
  <LinksUpToDate>false</LinksUpToDate>
  <CharactersWithSpaces>3292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2026-05-15T03:30:36Z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3B67C0DA53B24FF8B62F3814434648F6_13</vt:lpwstr>
  </property>
</Properties>
</file>